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Liberation Sans" w:hAnsi="Liberation Sans"/>
          <w:color w:val="000000"/>
          <w:sz w:val="24"/>
          <w:szCs w:val="24"/>
        </w:rPr>
      </w:pPr>
      <w:r>
        <w:rPr>
          <w:rFonts w:ascii="Liberation Sans" w:hAnsi="Liberation Sans"/>
          <w:color w:val="000000"/>
          <w:sz w:val="24"/>
          <w:szCs w:val="24"/>
        </w:rPr>
        <w:t>Name:</w:t>
        <w:tab/>
      </w:r>
    </w:p>
    <w:p>
      <w:pPr>
        <w:pStyle w:val="Normal"/>
        <w:rPr>
          <w:rFonts w:ascii="Liberation Sans" w:hAnsi="Liberation Sans"/>
          <w:color w:val="000000"/>
          <w:sz w:val="24"/>
          <w:szCs w:val="24"/>
          <w:u w:val="single"/>
        </w:rPr>
      </w:pPr>
      <w:r>
        <w:rPr>
          <w:rFonts w:ascii="Liberation Sans" w:hAnsi="Liberation Sans"/>
          <w:color w:val="000000"/>
          <w:sz w:val="24"/>
          <w:szCs w:val="24"/>
          <w:u w:val="single"/>
        </w:rPr>
        <mc:AlternateContent>
          <mc:Choice Requires="wps">
            <w:drawing>
              <wp:anchor behindDoc="0" distT="0" distB="0" distL="0" distR="0" simplePos="0" locked="0" layoutInCell="1" allowOverlap="1" relativeHeight="4">
                <wp:simplePos x="0" y="0"/>
                <wp:positionH relativeFrom="column">
                  <wp:posOffset>3175</wp:posOffset>
                </wp:positionH>
                <wp:positionV relativeFrom="paragraph">
                  <wp:posOffset>133350</wp:posOffset>
                </wp:positionV>
                <wp:extent cx="5400675" cy="0"/>
                <wp:effectExtent l="635" t="635" r="635" b="635"/>
                <wp:wrapNone/>
                <wp:docPr id="1" name="Horizontale Linie 3"/>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3"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Anschrift:</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5">
                <wp:simplePos x="0" y="0"/>
                <wp:positionH relativeFrom="column">
                  <wp:posOffset>3175</wp:posOffset>
                </wp:positionH>
                <wp:positionV relativeFrom="paragraph">
                  <wp:posOffset>133350</wp:posOffset>
                </wp:positionV>
                <wp:extent cx="5400675" cy="0"/>
                <wp:effectExtent l="635" t="635" r="635" b="635"/>
                <wp:wrapNone/>
                <wp:docPr id="2" name="Horizontale Linie 4"/>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4"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E-Mail:</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6">
                <wp:simplePos x="0" y="0"/>
                <wp:positionH relativeFrom="column">
                  <wp:posOffset>3175</wp:posOffset>
                </wp:positionH>
                <wp:positionV relativeFrom="paragraph">
                  <wp:posOffset>133350</wp:posOffset>
                </wp:positionV>
                <wp:extent cx="5400675" cy="0"/>
                <wp:effectExtent l="635" t="635" r="635" b="635"/>
                <wp:wrapNone/>
                <wp:docPr id="3" name="Horizontale Linie 5"/>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5"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An</w:t>
        <w:br/>
        <w:t>Samtgemeinde Heeseberg</w:t>
        <w:br/>
        <w:t>Helmstedter Straße 17</w:t>
        <w:br/>
        <w:t>38381 Jerxheim</w:t>
      </w:r>
    </w:p>
    <w:p>
      <w:pPr>
        <w:pStyle w:val="Normal"/>
        <w:rPr>
          <w:rFonts w:ascii="Liberation Sans" w:hAnsi="Liberation Sans"/>
          <w:color w:val="000000"/>
          <w:sz w:val="24"/>
          <w:szCs w:val="24"/>
        </w:rPr>
      </w:pPr>
      <w:r>
        <w:rPr>
          <w:rFonts w:ascii="Liberation Sans" w:hAnsi="Liberation Sans"/>
          <w:color w:val="000000"/>
          <w:sz w:val="24"/>
          <w:szCs w:val="24"/>
        </w:rPr>
      </w:r>
    </w:p>
    <w:p>
      <w:pPr>
        <w:pStyle w:val="Normal"/>
        <w:rPr>
          <w:rFonts w:ascii="Liberation Sans" w:hAnsi="Liberation Sans"/>
          <w:b/>
          <w:bCs/>
          <w:color w:val="000000"/>
          <w:sz w:val="24"/>
          <w:szCs w:val="24"/>
        </w:rPr>
      </w:pPr>
      <w:r>
        <w:rPr>
          <w:rFonts w:ascii="Liberation Sans" w:hAnsi="Liberation Sans"/>
          <w:b/>
          <w:bCs/>
          <w:color w:val="000000"/>
          <w:sz w:val="24"/>
          <w:szCs w:val="24"/>
        </w:rPr>
        <w:t>Betreff:</w:t>
        <w:tab/>
        <w:t>Stellungnahme zur 16. Änderung des Flächennutzungsplans</w:t>
        <w:br/>
        <w:tab/>
        <w:tab/>
        <w:t xml:space="preserve">der Samtgemeinde Heeseberg gemäß § 3 Abs. 2 BauGB </w:t>
      </w:r>
    </w:p>
    <w:p>
      <w:pPr>
        <w:pStyle w:val="Normal"/>
        <w:rPr>
          <w:rFonts w:ascii="Liberation Sans" w:hAnsi="Liberation Sans"/>
          <w:color w:val="000000"/>
          <w:sz w:val="24"/>
          <w:szCs w:val="24"/>
        </w:rPr>
      </w:pPr>
      <w:r>
        <w:rPr>
          <w:rFonts w:ascii="Liberation Sans" w:hAnsi="Liberation Sans"/>
          <w:color w:val="000000"/>
          <w:sz w:val="24"/>
          <w:szCs w:val="24"/>
        </w:rPr>
      </w:r>
    </w:p>
    <w:p>
      <w:pPr>
        <w:pStyle w:val="BodyText"/>
        <w:rPr>
          <w:rFonts w:ascii="Liberation Sans" w:hAnsi="Liberation Sans"/>
          <w:color w:val="000000"/>
        </w:rPr>
      </w:pPr>
      <w:r>
        <w:rPr>
          <w:rFonts w:ascii="Liberation Sans" w:hAnsi="Liberation Sans"/>
          <w:color w:val="000000"/>
        </w:rPr>
        <w:t>Sehr geehrte Damen und Herren,</w:t>
      </w:r>
    </w:p>
    <w:p>
      <w:pPr>
        <w:pStyle w:val="BodyText"/>
        <w:rPr>
          <w:rFonts w:ascii="Liberation Sans" w:hAnsi="Liberation Sans"/>
          <w:color w:val="000000"/>
        </w:rPr>
      </w:pPr>
      <w:r>
        <w:rPr>
          <w:rFonts w:ascii="Liberation Sans" w:hAnsi="Liberation Sans"/>
          <w:color w:val="000000"/>
        </w:rPr>
        <w:t>hiermit nehme ich fristgerecht Stellung zur 16. Änderung des Flächennutzungsplanes der Samtgemeinde Heeseberg.</w:t>
      </w:r>
    </w:p>
    <w:p>
      <w:pPr>
        <w:pStyle w:val="BodyText"/>
        <w:rPr>
          <w:rFonts w:ascii="Liberation Sans" w:hAnsi="Liberation Sans"/>
          <w:color w:val="000000"/>
        </w:rPr>
      </w:pPr>
      <w:r>
        <w:rPr>
          <w:rFonts w:ascii="Liberation Sans" w:hAnsi="Liberation Sans"/>
          <w:color w:val="000000"/>
        </w:rPr>
        <w:t>Ich erhebe erhebliche Bedenken gegen die geplante Ausweisung weiterer Flächen für Windenergieanlagen. Nach meiner Auffassung ist die Planung in ihrer derzeitigen Form nicht ausreichend begründet, nicht hinreichend untersucht und für die betroffenen Bürger, die Landschaft, die Landwirtschaft sowie die weitere Entwicklung der Samtgemeinde unverhältnismäßig belastend.</w:t>
      </w:r>
    </w:p>
    <w:p>
      <w:pPr>
        <w:pStyle w:val="BodyText"/>
        <w:rPr>
          <w:rFonts w:ascii="Liberation Sans" w:hAnsi="Liberation Sans"/>
          <w:color w:val="000000"/>
        </w:rPr>
      </w:pPr>
      <w:r>
        <w:rPr>
          <w:rFonts w:ascii="Liberation Sans" w:hAnsi="Liberation Sans"/>
          <w:color w:val="000000"/>
        </w:rPr>
        <w:t>Die nachfolgenden Ausführungen bitte ich vollständig zu prüfen, in die Verfahrensakte aufzunehmen und in die Abwägung einzustellen.</w:t>
      </w:r>
    </w:p>
    <w:p>
      <w:pPr>
        <w:pStyle w:val="Heading1"/>
        <w:rPr>
          <w:rFonts w:ascii="Liberation Sans" w:hAnsi="Liberation Sans"/>
          <w:color w:val="000000"/>
        </w:rPr>
      </w:pPr>
      <w:r>
        <w:rPr>
          <w:rFonts w:ascii="Liberation Sans" w:hAnsi="Liberation Sans"/>
          <w:color w:val="000000"/>
          <w:sz w:val="22"/>
          <w:szCs w:val="22"/>
        </w:rPr>
        <w:t>1. Unsere Heimat ist keine Industrielandschaft</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Samtgemeinde Heeseberg ist geprägt durch eine offene Kulturlandschaft, landwirtschaftliche Flächen, weite Sichtbeziehungen und historisch gewachsene Dörfer. Diese Landschaft ist nicht nur Nutzfläche, sondern Wohnumfeld, Erholungsraum und Teil der regionalen Identität.</w:t>
      </w:r>
    </w:p>
    <w:p>
      <w:pPr>
        <w:pStyle w:val="BodyText"/>
        <w:rPr>
          <w:rFonts w:ascii="Liberation Sans" w:hAnsi="Liberation Sans"/>
          <w:color w:val="000000"/>
          <w:sz w:val="22"/>
          <w:szCs w:val="22"/>
        </w:rPr>
      </w:pPr>
      <w:r>
        <w:rPr>
          <w:rFonts w:ascii="Liberation Sans" w:hAnsi="Liberation Sans"/>
          <w:color w:val="000000"/>
          <w:sz w:val="22"/>
          <w:szCs w:val="22"/>
        </w:rPr>
        <w:t>Bereits heute bestehen in der Samtgemeinde erhebliche Vorbelastungen durch Windenergieanlagen. Mit der 16. Änderung des Flächennutzungsplanes sollen weitere großflächige Windenergieflächen ausgewiesen werden.</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wird die Bedeutung des Landschaftsbildes in der Planung nicht ausreichend berücksichtigt.</w:t>
      </w:r>
    </w:p>
    <w:p>
      <w:pPr>
        <w:pStyle w:val="BodyText"/>
        <w:rPr>
          <w:rFonts w:ascii="Liberation Sans" w:hAnsi="Liberation Sans"/>
          <w:color w:val="000000"/>
          <w:sz w:val="22"/>
          <w:szCs w:val="22"/>
        </w:rPr>
      </w:pPr>
      <w:r>
        <w:rPr>
          <w:rFonts w:ascii="Liberation Sans" w:hAnsi="Liberation Sans"/>
          <w:color w:val="000000"/>
          <w:sz w:val="22"/>
          <w:szCs w:val="22"/>
        </w:rPr>
        <w:t>Moderne Windenergieanlagen mit sehr großen Gesamthöhen verändern den Landschaftsraum dauerhaft. Sie sind weithin sichtbar, dominieren Sichtachsen und führen zu einer technischen Überprägung der gewachsenen Kulturlandschaft.</w:t>
      </w:r>
    </w:p>
    <w:p>
      <w:pPr>
        <w:pStyle w:val="BodyText"/>
        <w:rPr>
          <w:rFonts w:ascii="Liberation Sans" w:hAnsi="Liberation Sans"/>
          <w:color w:val="000000"/>
          <w:sz w:val="22"/>
          <w:szCs w:val="22"/>
        </w:rPr>
      </w:pPr>
      <w:r>
        <w:rPr>
          <w:rFonts w:ascii="Liberation Sans" w:hAnsi="Liberation Sans"/>
          <w:color w:val="000000"/>
          <w:sz w:val="22"/>
          <w:szCs w:val="22"/>
        </w:rPr>
        <w:t>Die Landschaft darf nicht allein danach bewertet werden, ob sie baulich noch nutzbar ist. Sie hat einen eigenen Wert für die Menschen, die hier leben. Eine Planung, die nahezu den gesamten Landschaftsraum unter den Druck weiterer Energieanlagen setzt, greift tief in das Heimatbild und die Lebensqualität der Bevölkerung ein.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Auswirkungen auf das Landschaftsbild vollständig, gemeindeübergreifend und unter Einbeziehung aller bestehenden, repowerten und geplanten Windenergieanlagen zu untersuchen. Die Planung ist deutlich zu reduzieren oder zurückzunehmen, wenn sich die technische Überprägung der Landschaft nicht vermeiden lässt.</w:t>
      </w:r>
    </w:p>
    <w:p>
      <w:pPr>
        <w:pStyle w:val="Heading1"/>
        <w:rPr>
          <w:rFonts w:ascii="Liberation Sans" w:hAnsi="Liberation Sans"/>
          <w:color w:val="000000"/>
          <w:sz w:val="22"/>
          <w:szCs w:val="22"/>
        </w:rPr>
      </w:pPr>
      <w:r>
        <w:rPr>
          <w:rFonts w:ascii="Liberation Sans" w:hAnsi="Liberation Sans"/>
          <w:color w:val="000000"/>
          <w:sz w:val="22"/>
          <w:szCs w:val="22"/>
        </w:rPr>
        <w:t>2. Wann ist genug genug?</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Samtgemeinde Heeseberg leistet bereits heute einen erheblichen Beitrag zur Windenergienutzung. Zusätzlich zu bestehenden Windenergieflächen sollen mit der 16. Änderung des Flächennutzungsplanes weitere große Flächen für Windenergieanlagen ausgewiesen werden.</w:t>
      </w:r>
    </w:p>
    <w:p>
      <w:pPr>
        <w:pStyle w:val="BodyText"/>
        <w:rPr>
          <w:rFonts w:ascii="Liberation Sans" w:hAnsi="Liberation Sans"/>
          <w:color w:val="000000"/>
          <w:sz w:val="22"/>
          <w:szCs w:val="22"/>
        </w:rPr>
      </w:pPr>
      <w:r>
        <w:rPr>
          <w:rFonts w:ascii="Liberation Sans" w:hAnsi="Liberation Sans"/>
          <w:color w:val="000000"/>
          <w:sz w:val="22"/>
          <w:szCs w:val="22"/>
        </w:rPr>
        <w:t>Hinzu kommen weitere Energieplanungen, insbesondere Freiflächen-Photovoltaik sowie Windenergieanlagen in benachbarten Gemeinden.</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fehlt eine ehrliche Gesamtbetrachtung der Belastung.</w:t>
      </w:r>
    </w:p>
    <w:p>
      <w:pPr>
        <w:pStyle w:val="BodyText"/>
        <w:rPr>
          <w:rFonts w:ascii="Liberation Sans" w:hAnsi="Liberation Sans"/>
          <w:color w:val="000000"/>
          <w:sz w:val="22"/>
          <w:szCs w:val="22"/>
        </w:rPr>
      </w:pPr>
      <w:r>
        <w:rPr>
          <w:rFonts w:ascii="Liberation Sans" w:hAnsi="Liberation Sans"/>
          <w:color w:val="000000"/>
          <w:sz w:val="22"/>
          <w:szCs w:val="22"/>
        </w:rPr>
        <w:t>Für die betroffenen Bürger macht es keinen Unterschied, ob eine Windenergieanlage aus einer älteren Planung, einem Repowering, einer neuen Flächenausweisung oder aus einer Nachbargemeinde stammt. Entscheidend ist die tatsächliche Wirkung im Raum.</w:t>
      </w:r>
    </w:p>
    <w:p>
      <w:pPr>
        <w:pStyle w:val="BodyText"/>
        <w:rPr>
          <w:rFonts w:ascii="Liberation Sans" w:hAnsi="Liberation Sans"/>
          <w:color w:val="000000"/>
          <w:sz w:val="22"/>
          <w:szCs w:val="22"/>
        </w:rPr>
      </w:pPr>
      <w:r>
        <w:rPr>
          <w:rFonts w:ascii="Liberation Sans" w:hAnsi="Liberation Sans"/>
          <w:color w:val="000000"/>
          <w:sz w:val="22"/>
          <w:szCs w:val="22"/>
        </w:rPr>
        <w:t>Diese Wirkung entsteht durch die Summe aller Anlagen: Sichtbarkeit, Lärm, Schattenwurf, nächtliche Befeuerung, Landschaftsveränderung, Verlust von Ruhe und technische Überprägung.</w:t>
      </w:r>
    </w:p>
    <w:p>
      <w:pPr>
        <w:pStyle w:val="BodyText"/>
        <w:rPr>
          <w:rFonts w:ascii="Liberation Sans" w:hAnsi="Liberation Sans"/>
          <w:color w:val="000000"/>
          <w:sz w:val="22"/>
          <w:szCs w:val="22"/>
        </w:rPr>
      </w:pPr>
      <w:r>
        <w:rPr>
          <w:rFonts w:ascii="Liberation Sans" w:hAnsi="Liberation Sans"/>
          <w:color w:val="000000"/>
          <w:sz w:val="22"/>
          <w:szCs w:val="22"/>
        </w:rPr>
        <w:t>Eine Planung dieser Größenordnung darf nicht in Einzelteile zerlegt werden. Sie muss als Gesamtbelastung bewertet werden.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sämtliche bestehenden, repowerten und geplanten Windenergieanlagen sowie weitere großflächige Energieanlagen in einer Gesamtbetrachtung zu untersuchen. Ohne eine solche Kumulationsprüfung darf die Planung nicht beschlossen werden.</w:t>
      </w:r>
    </w:p>
    <w:p>
      <w:pPr>
        <w:pStyle w:val="Heading1"/>
        <w:rPr>
          <w:rFonts w:ascii="Liberation Sans" w:hAnsi="Liberation Sans"/>
          <w:color w:val="000000"/>
          <w:sz w:val="22"/>
          <w:szCs w:val="22"/>
        </w:rPr>
      </w:pPr>
      <w:r>
        <w:rPr>
          <w:rFonts w:ascii="Liberation Sans" w:hAnsi="Liberation Sans"/>
          <w:color w:val="000000"/>
          <w:sz w:val="22"/>
          <w:szCs w:val="22"/>
        </w:rPr>
        <w:t>3. Bürgerbeteiligung braucht Zeit und Transparenz</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16. Änderung des Flächennutzungsplanes betrifft die gesamte Samtgemeinde und hat langfristige Auswirkungen auf Landschaft, Wohnumfeld, Natur, Landwirtschaft und Entwicklung der Dörfer.</w:t>
      </w:r>
    </w:p>
    <w:p>
      <w:pPr>
        <w:pStyle w:val="BodyText"/>
        <w:rPr>
          <w:rFonts w:ascii="Liberation Sans" w:hAnsi="Liberation Sans"/>
          <w:color w:val="000000"/>
          <w:sz w:val="22"/>
          <w:szCs w:val="22"/>
        </w:rPr>
      </w:pPr>
      <w:r>
        <w:rPr>
          <w:rFonts w:ascii="Liberation Sans" w:hAnsi="Liberation Sans"/>
          <w:color w:val="000000"/>
          <w:sz w:val="22"/>
          <w:szCs w:val="22"/>
        </w:rPr>
        <w:t>Die Planunterlagen sind umfangreich, fachlich anspruchsvoll und für viele Bürger nur schwer vollständig auszuwerten.</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reicht es nicht aus, umfangreiche Unterlagen formal auszulegen und damit die gesetzlichen Mindestanforderungen abzuhaken.</w:t>
      </w:r>
    </w:p>
    <w:p>
      <w:pPr>
        <w:pStyle w:val="BodyText"/>
        <w:rPr>
          <w:rFonts w:ascii="Liberation Sans" w:hAnsi="Liberation Sans"/>
          <w:color w:val="000000"/>
          <w:sz w:val="22"/>
          <w:szCs w:val="22"/>
        </w:rPr>
      </w:pPr>
      <w:r>
        <w:rPr>
          <w:rFonts w:ascii="Liberation Sans" w:hAnsi="Liberation Sans"/>
          <w:color w:val="000000"/>
          <w:sz w:val="22"/>
          <w:szCs w:val="22"/>
        </w:rPr>
        <w:t>Bürgerbeteiligung muss so gestaltet sein, dass Bürger die Planung verstehen, ihre Auswirkungen erkennen und sachgerecht Stellung nehmen können. Gerade bei einer Planung dieser Tragweite wären frühzeitige Informationsveranstaltungen, verständliche Zusammenfassungen, Visualisierungen und ausreichend Zeit zur Prüfung erforderlich gewesen.</w:t>
      </w:r>
    </w:p>
    <w:p>
      <w:pPr>
        <w:pStyle w:val="BodyText"/>
        <w:rPr>
          <w:rFonts w:ascii="Liberation Sans" w:hAnsi="Liberation Sans"/>
          <w:color w:val="000000"/>
          <w:sz w:val="22"/>
          <w:szCs w:val="22"/>
        </w:rPr>
      </w:pPr>
      <w:r>
        <w:rPr>
          <w:rFonts w:ascii="Liberation Sans" w:hAnsi="Liberation Sans"/>
          <w:color w:val="000000"/>
          <w:sz w:val="22"/>
          <w:szCs w:val="22"/>
        </w:rPr>
        <w:t>Eine Beteiligung, die zwar formal stattfindet, aber viele Bürger faktisch überfordert, wird dem Anspruch einer ernsthaften Öffentlichkeitsbeteiligung nicht gerecht.</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Öffentlichkeit umfassend, verständlich und transparent über die Planung zu informieren, die Auswirkungen anschaulich darzustellen und ausreichend Zeit für Stellungnahmen einzuräumen. Die Beteiligung darf nicht auf eine formale Auslegung umfangreicher Fachunterlagen reduziert werden.</w:t>
      </w:r>
    </w:p>
    <w:p>
      <w:pPr>
        <w:pStyle w:val="Heading1"/>
        <w:rPr>
          <w:rFonts w:ascii="Liberation Sans" w:hAnsi="Liberation Sans"/>
          <w:color w:val="000000"/>
          <w:sz w:val="22"/>
          <w:szCs w:val="22"/>
        </w:rPr>
      </w:pPr>
      <w:r>
        <w:rPr>
          <w:rFonts w:ascii="Liberation Sans" w:hAnsi="Liberation Sans"/>
          <w:color w:val="000000"/>
          <w:sz w:val="22"/>
          <w:szCs w:val="22"/>
        </w:rPr>
        <w:t>4. Eine Umweltprüfung muss alle Schutzgüter berücksichtigen</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Bei der Änderung eines Flächennutzungsplanes sind die erheblichen Umweltauswirkungen zu ermitteln, zu beschreiben und zu bewerten. Dabei sind alle Schutzgüter zu berücksichtigen, insbesondere Mensch, Tiere, Pflanzen, Fläche, Boden, Wasser, Luft und Klima, Landschaft sowie Kultur- und Sachgüter.</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werden die Umweltbelange nicht vollständig und nicht gleichgewichtig betrachtet.</w:t>
      </w:r>
    </w:p>
    <w:p>
      <w:pPr>
        <w:pStyle w:val="BodyText"/>
        <w:rPr>
          <w:rFonts w:ascii="Liberation Sans" w:hAnsi="Liberation Sans"/>
          <w:color w:val="000000"/>
          <w:sz w:val="22"/>
          <w:szCs w:val="22"/>
        </w:rPr>
      </w:pPr>
      <w:r>
        <w:rPr>
          <w:rFonts w:ascii="Liberation Sans" w:hAnsi="Liberation Sans"/>
          <w:color w:val="000000"/>
          <w:sz w:val="22"/>
          <w:szCs w:val="22"/>
        </w:rPr>
        <w:t>Einzelne Fachthemen werden ausführlich behandelt. Andere Schutzgüter, insbesondere Mensch, Landschaft, Fläche, Kultur- und Sachgüter sowie die Wechselwirkungen zwischen den Schutzgütern, erscheinen dagegen deutlich schwächer berücksichtigt.</w:t>
      </w:r>
    </w:p>
    <w:p>
      <w:pPr>
        <w:pStyle w:val="BodyText"/>
        <w:rPr>
          <w:rFonts w:ascii="Liberation Sans" w:hAnsi="Liberation Sans"/>
          <w:color w:val="000000"/>
          <w:sz w:val="22"/>
          <w:szCs w:val="22"/>
        </w:rPr>
      </w:pPr>
      <w:r>
        <w:rPr>
          <w:rFonts w:ascii="Liberation Sans" w:hAnsi="Liberation Sans"/>
          <w:color w:val="000000"/>
          <w:sz w:val="22"/>
          <w:szCs w:val="22"/>
        </w:rPr>
        <w:t>Eine Umweltprüfung darf nicht aus einzelnen Gutachten bestehen, die nebeneinanderstehen. Erforderlich ist eine nachvollziehbare Gesamtbewertung aller Auswirkungen und Wechselwirkungen.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Umweltprüfung vollständig zu überarbeiten und alle Schutzgüter gleichwertig zu untersuchen. Insbesondere sind die Wechselwirkungen und kumulativen Auswirkungen der Planung nachvollziehbar in die Abwägung einzustellen.</w:t>
      </w:r>
    </w:p>
    <w:p>
      <w:pPr>
        <w:pStyle w:val="Heading1"/>
        <w:rPr>
          <w:rFonts w:ascii="Liberation Sans" w:hAnsi="Liberation Sans"/>
          <w:color w:val="000000"/>
          <w:sz w:val="22"/>
          <w:szCs w:val="22"/>
        </w:rPr>
      </w:pPr>
      <w:r>
        <w:rPr>
          <w:rFonts w:ascii="Liberation Sans" w:hAnsi="Liberation Sans"/>
          <w:color w:val="000000"/>
          <w:sz w:val="22"/>
          <w:szCs w:val="22"/>
        </w:rPr>
        <w:t>5. Landwirtschaft braucht Fläche</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Samtgemeinde Heeseberg ist landwirtschaftlich geprägt. Die betroffenen Flächen sind Teil einer gewachsenen Agrarstruktur und bilden die wirtschaftliche Grundlage landwirtschaftlicher Betriebe.</w:t>
      </w:r>
    </w:p>
    <w:p>
      <w:pPr>
        <w:pStyle w:val="BodyText"/>
        <w:rPr>
          <w:rFonts w:ascii="Liberation Sans" w:hAnsi="Liberation Sans"/>
          <w:color w:val="000000"/>
          <w:sz w:val="22"/>
          <w:szCs w:val="22"/>
        </w:rPr>
      </w:pPr>
      <w:r>
        <w:rPr>
          <w:rFonts w:ascii="Liberation Sans" w:hAnsi="Liberation Sans"/>
          <w:color w:val="000000"/>
          <w:sz w:val="22"/>
          <w:szCs w:val="22"/>
        </w:rPr>
        <w:t>Windenergieanlagen beanspruchen nicht nur die unmittelbaren Fundamentflächen. Hinzu kommen Wegeausbau, Kranstellflächen, Montageflächen, Kabeltrassen, Baustelleneinrichtungen und technische Nebenanlagen.</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werden die Auswirkungen auf Landwirtschaft und Agrarstruktur nicht ausreichend berücksichtigt.</w:t>
      </w:r>
    </w:p>
    <w:p>
      <w:pPr>
        <w:pStyle w:val="BodyText"/>
        <w:rPr>
          <w:rFonts w:ascii="Liberation Sans" w:hAnsi="Liberation Sans"/>
          <w:color w:val="000000"/>
          <w:sz w:val="22"/>
          <w:szCs w:val="22"/>
        </w:rPr>
      </w:pPr>
      <w:r>
        <w:rPr>
          <w:rFonts w:ascii="Liberation Sans" w:hAnsi="Liberation Sans"/>
          <w:color w:val="000000"/>
          <w:sz w:val="22"/>
          <w:szCs w:val="22"/>
        </w:rPr>
        <w:t>Die Planung führt nicht nur zu punktuellen Eingriffen. Sie verändert Bewirtschaftungsabläufe, zerschneidet Flächen, beeinträchtigt hochwertige Böden und verändert Wirtschaftswege sowie Randstrukturen.</w:t>
      </w:r>
    </w:p>
    <w:p>
      <w:pPr>
        <w:pStyle w:val="BodyText"/>
        <w:rPr>
          <w:rFonts w:ascii="Liberation Sans" w:hAnsi="Liberation Sans"/>
          <w:color w:val="000000"/>
          <w:sz w:val="22"/>
          <w:szCs w:val="22"/>
        </w:rPr>
      </w:pPr>
      <w:r>
        <w:rPr>
          <w:rFonts w:ascii="Liberation Sans" w:hAnsi="Liberation Sans"/>
          <w:color w:val="000000"/>
          <w:sz w:val="22"/>
          <w:szCs w:val="22"/>
        </w:rPr>
        <w:t>Landwirtschaftliche Flächen sind keine beliebige Reservefläche für Energieanlagen. Sie dienen der Nahrungsmittelproduktion, der Saatguterzeugung und der wirtschaftlichen Existenz landwirtschaftlicher Betriebe.</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Auswirkungen auf Landwirtschaft, Agrarstruktur, hochwertige Böden, Wirtschaftswege und Bewirtschaftungsbedingungen vollständig zu untersuchen und in die Abwägung einzustellen. Die Planung ist zu reduzieren, soweit landwirtschaftliche Belange erheblich beeinträchtigt werden.</w:t>
      </w:r>
    </w:p>
    <w:p>
      <w:pPr>
        <w:pStyle w:val="Heading1"/>
        <w:rPr>
          <w:rFonts w:ascii="Liberation Sans" w:hAnsi="Liberation Sans"/>
          <w:color w:val="000000"/>
          <w:sz w:val="22"/>
          <w:szCs w:val="22"/>
        </w:rPr>
      </w:pPr>
      <w:r>
        <w:rPr>
          <w:rFonts w:ascii="Liberation Sans" w:hAnsi="Liberation Sans"/>
          <w:color w:val="000000"/>
          <w:sz w:val="22"/>
          <w:szCs w:val="22"/>
        </w:rPr>
        <w:t>6. Auch die Interessen der Anwohner zählen</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geplante Ausweisung weiterer Windenergieflächen betrifft nicht nur freie Landschaft, sondern unmittelbar die Menschen, die in der Samtgemeinde leben.</w:t>
      </w:r>
    </w:p>
    <w:p>
      <w:pPr>
        <w:pStyle w:val="BodyText"/>
        <w:rPr>
          <w:rFonts w:ascii="Liberation Sans" w:hAnsi="Liberation Sans"/>
          <w:color w:val="000000"/>
          <w:sz w:val="22"/>
          <w:szCs w:val="22"/>
        </w:rPr>
      </w:pPr>
      <w:r>
        <w:rPr>
          <w:rFonts w:ascii="Liberation Sans" w:hAnsi="Liberation Sans"/>
          <w:color w:val="000000"/>
          <w:sz w:val="22"/>
          <w:szCs w:val="22"/>
        </w:rPr>
        <w:t>Betroffen sind Wohnqualität, Wohnumfeld, Erholung, Ortsbild, Eigentümerinteressen und das persönliche Heimatgefühl.</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werden die privaten Belange der Anwohner nicht ausreichend gewichtet.</w:t>
      </w:r>
    </w:p>
    <w:p>
      <w:pPr>
        <w:pStyle w:val="BodyText"/>
        <w:rPr>
          <w:rFonts w:ascii="Liberation Sans" w:hAnsi="Liberation Sans"/>
          <w:color w:val="000000"/>
          <w:sz w:val="22"/>
          <w:szCs w:val="22"/>
        </w:rPr>
      </w:pPr>
      <w:r>
        <w:rPr>
          <w:rFonts w:ascii="Liberation Sans" w:hAnsi="Liberation Sans"/>
          <w:color w:val="000000"/>
          <w:sz w:val="22"/>
          <w:szCs w:val="22"/>
        </w:rPr>
        <w:t>Wohnqualität besteht nicht allein aus der Einhaltung technischer Grenzwerte. Auch Ruhe, Landschaftserleben, freie Sichtbeziehungen, Erholung, das Erscheinungsbild der Dörfer und das Gefühl, in einer lebenswerten Umgebung zu wohnen, sind wichtige Belange.</w:t>
      </w:r>
    </w:p>
    <w:p>
      <w:pPr>
        <w:pStyle w:val="BodyText"/>
        <w:rPr>
          <w:rFonts w:ascii="Liberation Sans" w:hAnsi="Liberation Sans"/>
          <w:color w:val="000000"/>
          <w:sz w:val="22"/>
          <w:szCs w:val="22"/>
        </w:rPr>
      </w:pPr>
      <w:r>
        <w:rPr>
          <w:rFonts w:ascii="Liberation Sans" w:hAnsi="Liberation Sans"/>
          <w:color w:val="000000"/>
          <w:sz w:val="22"/>
          <w:szCs w:val="22"/>
        </w:rPr>
        <w:t>Die Planung verändert das Wohnumfeld vieler Bürger dauerhaft. Diese Veränderung darf nicht hinter wirtschaftlichen Interessen oder allgemeinen energiepolitischen Zielsetzungen zurücktreten, ohne sorgfältig abgewogen zu werden.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privaten Belange der Anwohner, die Auswirkungen auf Wohnqualität, Wohnumfeld, Eigentümerinteressen und die Attraktivität der Ortslagen vollständig zu ermitteln und angemessen in die Abwägung einzustellen.</w:t>
      </w:r>
    </w:p>
    <w:p>
      <w:pPr>
        <w:pStyle w:val="Heading1"/>
        <w:rPr>
          <w:rFonts w:ascii="Liberation Sans" w:hAnsi="Liberation Sans"/>
          <w:color w:val="000000"/>
          <w:sz w:val="22"/>
          <w:szCs w:val="22"/>
        </w:rPr>
      </w:pPr>
      <w:r>
        <w:rPr>
          <w:rFonts w:ascii="Liberation Sans" w:hAnsi="Liberation Sans"/>
          <w:color w:val="000000"/>
          <w:sz w:val="22"/>
          <w:szCs w:val="22"/>
        </w:rPr>
        <w:t>7. Mehr Windräder allein lösen keine Energieprobleme</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Planung wird mit Energiewende, Klimaschutz und dem Ausbau erneuerbarer Energien begründet. Diese Ziele sind wichtige öffentliche Belange.</w:t>
      </w:r>
    </w:p>
    <w:p>
      <w:pPr>
        <w:pStyle w:val="BodyText"/>
        <w:rPr>
          <w:rFonts w:ascii="Liberation Sans" w:hAnsi="Liberation Sans"/>
          <w:color w:val="000000"/>
          <w:sz w:val="22"/>
          <w:szCs w:val="22"/>
        </w:rPr>
      </w:pPr>
      <w:r>
        <w:rPr>
          <w:rFonts w:ascii="Liberation Sans" w:hAnsi="Liberation Sans"/>
          <w:color w:val="000000"/>
          <w:sz w:val="22"/>
          <w:szCs w:val="22"/>
        </w:rPr>
        <w:t>Ein funktionierendes Energiesystem besteht jedoch nicht allein aus der Ausweisung immer weiterer Flächen für Windenergieanlagen. Erforderlich sind auch Netze, Speicher, Regelbarkeit, Versorgungssicherheit und eine tragfähige technische Gesamtstrategie.</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fehlt eine nachvollziehbare energiewirtschaftliche Systembetrachtung.</w:t>
      </w:r>
    </w:p>
    <w:p>
      <w:pPr>
        <w:pStyle w:val="BodyText"/>
        <w:rPr>
          <w:rFonts w:ascii="Liberation Sans" w:hAnsi="Liberation Sans"/>
          <w:color w:val="000000"/>
          <w:sz w:val="22"/>
          <w:szCs w:val="22"/>
        </w:rPr>
      </w:pPr>
      <w:r>
        <w:rPr>
          <w:rFonts w:ascii="Liberation Sans" w:hAnsi="Liberation Sans"/>
          <w:color w:val="000000"/>
          <w:sz w:val="22"/>
          <w:szCs w:val="22"/>
        </w:rPr>
        <w:t>Es wird nicht ausreichend dargestellt, welchen konkreten Beitrag die zusätzlichen Flächen leisten sollen, wie der erzeugte Strom in das Netz eingebunden wird, welche Speicher- und Netzkapazitäten erforderlich sind und weshalb die bestehenden Windenergieflächen nicht ausreichen.</w:t>
      </w:r>
    </w:p>
    <w:p>
      <w:pPr>
        <w:pStyle w:val="BodyText"/>
        <w:rPr>
          <w:rFonts w:ascii="Liberation Sans" w:hAnsi="Liberation Sans"/>
          <w:color w:val="000000"/>
          <w:sz w:val="22"/>
          <w:szCs w:val="22"/>
        </w:rPr>
      </w:pPr>
      <w:r>
        <w:rPr>
          <w:rFonts w:ascii="Liberation Sans" w:hAnsi="Liberation Sans"/>
          <w:color w:val="000000"/>
          <w:sz w:val="22"/>
          <w:szCs w:val="22"/>
        </w:rPr>
        <w:t>Allgemeine energiepolitische Zielsetzungen ersetzen keine konkrete örtliche Erforderlichkeitsprüfung.</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energiewirtschaftliche Erforderlichkeit der geplanten zusätzlichen Windenergieflächen nachvollziehbar darzustellen und eine technische Systembetrachtung zu Netzen, Speichern, bestehenden Erzeugungskapazitäten und Versorgungssicherheit vorzulegen.</w:t>
      </w:r>
    </w:p>
    <w:p>
      <w:pPr>
        <w:pStyle w:val="Heading1"/>
        <w:rPr>
          <w:rFonts w:ascii="Liberation Sans" w:hAnsi="Liberation Sans"/>
          <w:color w:val="000000"/>
          <w:sz w:val="22"/>
          <w:szCs w:val="22"/>
        </w:rPr>
      </w:pPr>
      <w:r>
        <w:rPr>
          <w:rFonts w:ascii="Liberation Sans" w:hAnsi="Liberation Sans"/>
          <w:color w:val="000000"/>
          <w:sz w:val="22"/>
          <w:szCs w:val="22"/>
        </w:rPr>
        <w:t>8. Die Samtgemeinde trägt Verantwortung</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Bund, Land und Regionalplanung geben Ziele für den Ausbau der Windenergie vor. Diese Vorgaben bilden den Rahmen für die kommunale Planung.</w:t>
      </w:r>
    </w:p>
    <w:p>
      <w:pPr>
        <w:pStyle w:val="BodyText"/>
        <w:rPr>
          <w:rFonts w:ascii="Liberation Sans" w:hAnsi="Liberation Sans"/>
          <w:color w:val="000000"/>
          <w:sz w:val="22"/>
          <w:szCs w:val="22"/>
        </w:rPr>
      </w:pPr>
      <w:r>
        <w:rPr>
          <w:rFonts w:ascii="Liberation Sans" w:hAnsi="Liberation Sans"/>
          <w:color w:val="000000"/>
          <w:sz w:val="22"/>
          <w:szCs w:val="22"/>
        </w:rPr>
        <w:t>Die Samtgemeinde bleibt jedoch selbst verantwortlich für ihre Bauleitplanung. Sie muss eigenständig prüfen, ob eine konkrete Flächenausweisung erforderlich, angemessen und verhältnismäßig ist.</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entsteht der Eindruck, dass die Planung zu stark aus übergeordneten Ausbauzielen abgeleitet wird.</w:t>
      </w:r>
    </w:p>
    <w:p>
      <w:pPr>
        <w:pStyle w:val="BodyText"/>
        <w:rPr>
          <w:rFonts w:ascii="Liberation Sans" w:hAnsi="Liberation Sans"/>
          <w:color w:val="000000"/>
          <w:sz w:val="22"/>
          <w:szCs w:val="22"/>
        </w:rPr>
      </w:pPr>
      <w:r>
        <w:rPr>
          <w:rFonts w:ascii="Liberation Sans" w:hAnsi="Liberation Sans"/>
          <w:color w:val="000000"/>
          <w:sz w:val="22"/>
          <w:szCs w:val="22"/>
        </w:rPr>
        <w:t>Die Samtgemeinde darf ihre Entscheidung nicht als bloßen Vollzug fremder Vorgaben verstehen. Gerade weil vor Ort erhebliche Auswirkungen entstehen, muss die Gemeinde ihre eigenen planerischen Spielräume nutzen und die örtlichen Belange eigenständig bewerten.</w:t>
      </w:r>
    </w:p>
    <w:p>
      <w:pPr>
        <w:pStyle w:val="BodyText"/>
        <w:rPr>
          <w:rFonts w:ascii="Liberation Sans" w:hAnsi="Liberation Sans"/>
          <w:color w:val="000000"/>
          <w:sz w:val="22"/>
          <w:szCs w:val="22"/>
        </w:rPr>
      </w:pPr>
      <w:r>
        <w:rPr>
          <w:rFonts w:ascii="Liberation Sans" w:hAnsi="Liberation Sans"/>
          <w:color w:val="000000"/>
          <w:sz w:val="22"/>
          <w:szCs w:val="22"/>
        </w:rPr>
        <w:t>Dazu gehören bestehende Vorbelastungen, Landschaftsbild, Wohnqualität, Landwirtschaft, Natur, Eigentümerinteressen und die langfristige Entwicklung der Dörfer.</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ihre eigenständige planerische Verantwortung wahrzunehmen, die Erforderlichkeit und Verhältnismäßigkeit der Planung erneut zu prüfen und transparent darzulegen, weshalb die zusätzlichen Windenergieflächen in diesem Umfang erforderlich sein sollen.</w:t>
      </w:r>
    </w:p>
    <w:p>
      <w:pPr>
        <w:pStyle w:val="Heading1"/>
        <w:rPr>
          <w:rFonts w:ascii="Liberation Sans" w:hAnsi="Liberation Sans"/>
          <w:color w:val="000000"/>
          <w:sz w:val="22"/>
          <w:szCs w:val="22"/>
        </w:rPr>
      </w:pPr>
      <w:r>
        <w:rPr>
          <w:rFonts w:ascii="Liberation Sans" w:hAnsi="Liberation Sans"/>
          <w:color w:val="000000"/>
          <w:sz w:val="22"/>
          <w:szCs w:val="22"/>
        </w:rPr>
        <w:t>9. Nachhaltigkeit bedeutet Verantwortung für kommende Generationen</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Ausweisung von Windenergieflächen hat Auswirkungen über Jahrzehnte. Sie verändert Landschaft, Flächennutzung, Wohnumfeld und Natur nicht nur kurzfristig, sondern langfristig.</w:t>
      </w:r>
    </w:p>
    <w:p>
      <w:pPr>
        <w:pStyle w:val="BodyText"/>
        <w:rPr>
          <w:rFonts w:ascii="Liberation Sans" w:hAnsi="Liberation Sans"/>
          <w:color w:val="000000"/>
          <w:sz w:val="22"/>
          <w:szCs w:val="22"/>
        </w:rPr>
      </w:pPr>
      <w:r>
        <w:rPr>
          <w:rFonts w:ascii="Liberation Sans" w:hAnsi="Liberation Sans"/>
          <w:color w:val="000000"/>
          <w:sz w:val="22"/>
          <w:szCs w:val="22"/>
        </w:rPr>
        <w:t>Nachhaltigkeit bedeutet daher mehr als den Ausbau erneuerbarer Energien. Sie umfasst auch den Schutz von Landschaft, Boden, Natur, Landwirtschaft und Lebensqualität.</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wird der Begriff Nachhaltigkeit zu einseitig auf Energieerzeugung bezogen.</w:t>
      </w:r>
    </w:p>
    <w:p>
      <w:pPr>
        <w:pStyle w:val="BodyText"/>
        <w:rPr>
          <w:rFonts w:ascii="Liberation Sans" w:hAnsi="Liberation Sans"/>
          <w:color w:val="000000"/>
          <w:sz w:val="22"/>
          <w:szCs w:val="22"/>
        </w:rPr>
      </w:pPr>
      <w:r>
        <w:rPr>
          <w:rFonts w:ascii="Liberation Sans" w:hAnsi="Liberation Sans"/>
          <w:color w:val="000000"/>
          <w:sz w:val="22"/>
          <w:szCs w:val="22"/>
        </w:rPr>
        <w:t>Eine Planung ist nicht schon deshalb nachhaltig, weil sie erneuerbare Energie ermöglicht. Nachhaltig ist sie nur dann, wenn sie auch die Folgen für kommende Generationen, den Rückbau, die Wiederherstellung der Flächen, die langfristige Landschaftsentwicklung und die Lebensqualität in den Dörfern berücksichtigt.</w:t>
      </w:r>
    </w:p>
    <w:p>
      <w:pPr>
        <w:pStyle w:val="BodyText"/>
        <w:rPr>
          <w:rFonts w:ascii="Liberation Sans" w:hAnsi="Liberation Sans"/>
          <w:color w:val="000000"/>
          <w:sz w:val="22"/>
          <w:szCs w:val="22"/>
        </w:rPr>
      </w:pPr>
      <w:r>
        <w:rPr>
          <w:rFonts w:ascii="Liberation Sans" w:hAnsi="Liberation Sans"/>
          <w:color w:val="000000"/>
          <w:sz w:val="22"/>
          <w:szCs w:val="22"/>
        </w:rPr>
        <w:t>Die heutige Planung darf nicht einseitig Lasten schaffen, die kommende Generationen tragen müssen.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langfristigen Auswirkungen der Planung einschließlich Rückbau, Flächenwiederherstellung, Landschaftsveränderung und Verantwortung gegenüber kommenden Generationen vollständig in die Abwägung einzustellen.</w:t>
      </w:r>
    </w:p>
    <w:p>
      <w:pPr>
        <w:pStyle w:val="Heading1"/>
        <w:rPr>
          <w:rFonts w:ascii="Liberation Sans" w:hAnsi="Liberation Sans"/>
          <w:color w:val="000000"/>
          <w:sz w:val="22"/>
          <w:szCs w:val="22"/>
        </w:rPr>
      </w:pPr>
      <w:r>
        <w:rPr>
          <w:rFonts w:ascii="Liberation Sans" w:hAnsi="Liberation Sans"/>
          <w:color w:val="000000"/>
          <w:sz w:val="22"/>
          <w:szCs w:val="22"/>
        </w:rPr>
        <w:t>10. Eine gute Planung überzeugt durch Qualität</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16. Änderung des Flächennutzungsplanes ist eine Planung von erheblicher Tragweite. Sie betrifft große Teile der Samtgemeinde und hat langfristige Auswirkungen auf Mensch, Natur, Landschaft, Landwirtschaft und Entwicklung der Orte.</w:t>
      </w:r>
    </w:p>
    <w:p>
      <w:pPr>
        <w:pStyle w:val="BodyText"/>
        <w:rPr>
          <w:rFonts w:ascii="Liberation Sans" w:hAnsi="Liberation Sans"/>
          <w:color w:val="000000"/>
          <w:sz w:val="22"/>
          <w:szCs w:val="22"/>
        </w:rPr>
      </w:pPr>
      <w:r>
        <w:rPr>
          <w:rFonts w:ascii="Liberation Sans" w:hAnsi="Liberation Sans"/>
          <w:color w:val="000000"/>
          <w:sz w:val="22"/>
          <w:szCs w:val="22"/>
        </w:rPr>
        <w:t>Eine solche Planung muss fachlich belastbar, transparent, nachvollziehbar und sorgfältig abgewogen sein.</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bestehen erhebliche Zweifel, ob die vorliegende Planung diesen Anforderungen genügt.</w:t>
      </w:r>
    </w:p>
    <w:p>
      <w:pPr>
        <w:pStyle w:val="BodyText"/>
        <w:rPr>
          <w:rFonts w:ascii="Liberation Sans" w:hAnsi="Liberation Sans"/>
          <w:color w:val="000000"/>
          <w:sz w:val="22"/>
          <w:szCs w:val="22"/>
        </w:rPr>
      </w:pPr>
      <w:r>
        <w:rPr>
          <w:rFonts w:ascii="Liberation Sans" w:hAnsi="Liberation Sans"/>
          <w:color w:val="000000"/>
          <w:sz w:val="22"/>
          <w:szCs w:val="22"/>
        </w:rPr>
        <w:t>Eine gute Planung zeichnet sich nicht dadurch aus, dass möglichst viele Flächen ausgewiesen werden. Sie überzeugt durch nachvollziehbare Begründung, saubere Alternativenprüfung, vollständige Umweltprüfung, transparente Bürgerbeteiligung und eine gerechte Abwägung.</w:t>
      </w:r>
    </w:p>
    <w:p>
      <w:pPr>
        <w:pStyle w:val="BodyText"/>
        <w:rPr>
          <w:rFonts w:ascii="Liberation Sans" w:hAnsi="Liberation Sans"/>
          <w:color w:val="000000"/>
          <w:sz w:val="22"/>
          <w:szCs w:val="22"/>
        </w:rPr>
      </w:pPr>
      <w:r>
        <w:rPr>
          <w:rFonts w:ascii="Liberation Sans" w:hAnsi="Liberation Sans"/>
          <w:color w:val="000000"/>
          <w:sz w:val="22"/>
          <w:szCs w:val="22"/>
        </w:rPr>
        <w:t>Gerade bei einer so weitreichenden Veränderung des Landschaftsraumes muss die Samtgemeinde höchste Sorgfalt walten lassen.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vorliegenden Einwendungen sorgfältig zu prüfen, die Planung fachlich zu überarbeiten, die offenen Fragen nachvollziehbar zu beantworten und die 16. Änderung des Flächennutzungsplanes in der derzeitigen Form nicht zu beschließen.</w:t>
      </w:r>
    </w:p>
    <w:p>
      <w:pPr>
        <w:pStyle w:val="BodyText"/>
        <w:rPr>
          <w:rFonts w:ascii="Liberation Sans" w:hAnsi="Liberation Sans"/>
          <w:color w:val="000000"/>
          <w:sz w:val="22"/>
          <w:szCs w:val="22"/>
        </w:rPr>
      </w:pPr>
      <w:r>
        <w:rPr>
          <w:rFonts w:ascii="Liberation Sans" w:hAnsi="Liberation Sans"/>
          <w:color w:val="000000"/>
          <w:sz w:val="22"/>
          <w:szCs w:val="22"/>
        </w:rPr>
      </w:r>
      <w:r>
        <w:br w:type="page"/>
      </w:r>
    </w:p>
    <w:p>
      <w:pPr>
        <w:pStyle w:val="Heading1"/>
        <w:rPr>
          <w:rFonts w:ascii="Liberation Sans" w:hAnsi="Liberation Sans"/>
          <w:color w:val="000000"/>
          <w:sz w:val="22"/>
          <w:szCs w:val="22"/>
        </w:rPr>
      </w:pPr>
      <w:r>
        <w:rPr>
          <w:rFonts w:ascii="Liberation Sans" w:hAnsi="Liberation Sans"/>
          <w:color w:val="000000"/>
          <w:sz w:val="22"/>
          <w:szCs w:val="22"/>
        </w:rPr>
        <w:t>11. Wertverlust von Wohnimmobilien und Eigentum</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Für viele Bürger stellt das eigene Wohnhaus oder Grundstück den größten Vermögenswert ihres Lebens dar. Gleichzeitig ist das Eigenheim Lebensmittelpunkt, Altersvorsorge und häufig auch Teil der familiären Zukunftsplanung.</w:t>
      </w:r>
    </w:p>
    <w:p>
      <w:pPr>
        <w:pStyle w:val="BodyText"/>
        <w:rPr>
          <w:rFonts w:ascii="Liberation Sans" w:hAnsi="Liberation Sans"/>
          <w:color w:val="000000"/>
          <w:sz w:val="22"/>
          <w:szCs w:val="22"/>
        </w:rPr>
      </w:pPr>
      <w:r>
        <w:rPr>
          <w:rFonts w:ascii="Liberation Sans" w:hAnsi="Liberation Sans"/>
          <w:color w:val="000000"/>
          <w:sz w:val="22"/>
          <w:szCs w:val="22"/>
        </w:rPr>
        <w:t>Mit der Ausweisung weiterer Windenergieflächen rücken große Windenergieanlagen näher an bestehende Wohngebiete heran. Dadurch verändern sich das Wohnumfeld und die Wahrnehmung der betroffenen Immobilien dauerhaft.</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werden die Auswirkungen auf private Immobilien und Eigentümerinteressen in den Planunterlagen nicht ausreichend berücksichtigt.</w:t>
      </w:r>
    </w:p>
    <w:p>
      <w:pPr>
        <w:pStyle w:val="BodyText"/>
        <w:rPr>
          <w:rFonts w:ascii="Liberation Sans" w:hAnsi="Liberation Sans"/>
          <w:color w:val="000000"/>
          <w:sz w:val="22"/>
          <w:szCs w:val="22"/>
        </w:rPr>
      </w:pPr>
      <w:r>
        <w:rPr>
          <w:rFonts w:ascii="Liberation Sans" w:hAnsi="Liberation Sans"/>
          <w:color w:val="000000"/>
          <w:sz w:val="22"/>
          <w:szCs w:val="22"/>
        </w:rPr>
        <w:t>Unabhängig von der Frage, ob ein Wertverlust im Einzelfall nachgewiesen werden kann, beeinflussen Windenergieanlagen die Attraktivität eines Wohnstandortes. Sichtbarkeit, technische Dominanz, nächtliche Befeuerung, Lärm und die Veränderung des Landschaftsbildes wirken sich auf die Wohnqualität aus und können sich mittelbar auch auf die Vermarktungsfähigkeit von Grundstücken und Wohnhäusern auswirken.</w:t>
      </w:r>
    </w:p>
    <w:p>
      <w:pPr>
        <w:pStyle w:val="BodyText"/>
        <w:rPr>
          <w:rFonts w:ascii="Liberation Sans" w:hAnsi="Liberation Sans"/>
          <w:color w:val="000000"/>
          <w:sz w:val="22"/>
          <w:szCs w:val="22"/>
        </w:rPr>
      </w:pPr>
      <w:r>
        <w:rPr>
          <w:rFonts w:ascii="Liberation Sans" w:hAnsi="Liberation Sans"/>
          <w:color w:val="000000"/>
          <w:sz w:val="22"/>
          <w:szCs w:val="22"/>
        </w:rPr>
        <w:t>Das Eigentumsrecht genießt verfassungsrechtlichen Schutz. Deshalb dürfen mögliche wirtschaftliche Nachteile für Grundstückseigentümer nicht unbeachtet bleiben.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möglichen Auswirkungen der Planung auf Wohnqualität, Standortattraktivität und Eigentümerinteressen nachvollziehbar zu untersuchen und diese Belange angemessen in die planerische Abwägung einzustellen.</w:t>
      </w:r>
    </w:p>
    <w:p>
      <w:pPr>
        <w:pStyle w:val="Heading1"/>
        <w:rPr>
          <w:rFonts w:ascii="Liberation Sans" w:hAnsi="Liberation Sans"/>
          <w:color w:val="000000"/>
          <w:sz w:val="22"/>
          <w:szCs w:val="22"/>
        </w:rPr>
      </w:pPr>
      <w:r>
        <w:rPr>
          <w:rFonts w:ascii="Liberation Sans" w:hAnsi="Liberation Sans"/>
          <w:color w:val="000000"/>
          <w:sz w:val="22"/>
          <w:szCs w:val="22"/>
        </w:rPr>
        <w:t>12. Wie viel Ausbau verträgt die Samtgemeinde Heeseberg?</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pPr>
      <w:r>
        <w:rPr>
          <w:rFonts w:ascii="Liberation Sans" w:hAnsi="Liberation Sans"/>
          <w:color w:val="000000"/>
          <w:sz w:val="22"/>
          <w:szCs w:val="22"/>
        </w:rPr>
        <w:t xml:space="preserve">Bereits heute befinden sich in der Samtgemeinde Heeseberg umfangreiche Flächen für die Windenergienutzung. Mit der 16. Änderung des Flächennutzungsplanes sollen zusätzlich rund </w:t>
      </w:r>
      <w:r>
        <w:rPr>
          <w:rStyle w:val="Strong"/>
          <w:rFonts w:ascii="Liberation Sans" w:hAnsi="Liberation Sans"/>
          <w:color w:val="000000"/>
          <w:sz w:val="22"/>
          <w:szCs w:val="22"/>
        </w:rPr>
        <w:t>508 Hektar</w:t>
      </w:r>
      <w:r>
        <w:rPr>
          <w:rFonts w:ascii="Liberation Sans" w:hAnsi="Liberation Sans"/>
          <w:color w:val="000000"/>
          <w:sz w:val="22"/>
          <w:szCs w:val="22"/>
        </w:rPr>
        <w:t xml:space="preserve"> als Windenergieflächen ausgewiesen werden.</w:t>
      </w:r>
    </w:p>
    <w:p>
      <w:pPr>
        <w:pStyle w:val="BodyText"/>
        <w:rPr/>
      </w:pPr>
      <w:r>
        <w:rPr>
          <w:rFonts w:ascii="Liberation Sans" w:hAnsi="Liberation Sans"/>
          <w:color w:val="000000"/>
          <w:sz w:val="22"/>
          <w:szCs w:val="22"/>
        </w:rPr>
        <w:t xml:space="preserve">Zusammen mit den bereits vorhandenen Flächen ergibt sich künftig eine Windenergiekulisse von rund </w:t>
      </w:r>
      <w:r>
        <w:rPr>
          <w:rStyle w:val="Strong"/>
          <w:rFonts w:ascii="Liberation Sans" w:hAnsi="Liberation Sans"/>
          <w:color w:val="000000"/>
          <w:sz w:val="22"/>
          <w:szCs w:val="22"/>
        </w:rPr>
        <w:t>974 Hektar</w:t>
      </w:r>
      <w:r>
        <w:rPr>
          <w:rFonts w:ascii="Liberation Sans" w:hAnsi="Liberation Sans"/>
          <w:color w:val="000000"/>
          <w:sz w:val="22"/>
          <w:szCs w:val="22"/>
        </w:rPr>
        <w:t xml:space="preserve">. Dies entspricht etwa </w:t>
      </w:r>
      <w:r>
        <w:rPr>
          <w:rStyle w:val="Strong"/>
          <w:rFonts w:ascii="Liberation Sans" w:hAnsi="Liberation Sans"/>
          <w:color w:val="000000"/>
          <w:sz w:val="22"/>
          <w:szCs w:val="22"/>
        </w:rPr>
        <w:t>11,9 % der gesamten Fläche der Samtgemeinde</w:t>
      </w:r>
      <w:r>
        <w:rPr>
          <w:rFonts w:ascii="Liberation Sans" w:hAnsi="Liberation Sans"/>
          <w:color w:val="000000"/>
          <w:sz w:val="22"/>
          <w:szCs w:val="22"/>
        </w:rPr>
        <w:t>.</w:t>
      </w:r>
    </w:p>
    <w:p>
      <w:pPr>
        <w:pStyle w:val="BodyText"/>
        <w:rPr>
          <w:rFonts w:ascii="Liberation Sans" w:hAnsi="Liberation Sans"/>
          <w:color w:val="000000"/>
          <w:sz w:val="22"/>
          <w:szCs w:val="22"/>
        </w:rPr>
      </w:pPr>
      <w:r>
        <w:rPr>
          <w:rFonts w:ascii="Liberation Sans" w:hAnsi="Liberation Sans"/>
          <w:color w:val="000000"/>
          <w:sz w:val="22"/>
          <w:szCs w:val="22"/>
        </w:rPr>
        <w:t>Zusätzlich werden in der Region weitere Freiflächen-Photovoltaikanlagen geplant oder bereits errichtet. Dadurch nimmt die technische Überprägung des Landschaftsraumes weiter zu.</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fehlt eine nachvollziehbare Gesamtbetrachtung dieser Entwicklung.</w:t>
      </w:r>
    </w:p>
    <w:p>
      <w:pPr>
        <w:pStyle w:val="BodyText"/>
        <w:rPr>
          <w:rFonts w:ascii="Liberation Sans" w:hAnsi="Liberation Sans"/>
          <w:color w:val="000000"/>
          <w:sz w:val="22"/>
          <w:szCs w:val="22"/>
        </w:rPr>
      </w:pPr>
      <w:r>
        <w:rPr>
          <w:rFonts w:ascii="Liberation Sans" w:hAnsi="Liberation Sans"/>
          <w:color w:val="000000"/>
          <w:sz w:val="22"/>
          <w:szCs w:val="22"/>
        </w:rPr>
        <w:t>Die einzelnen Planungen dürfen nicht isoliert betrachtet werden. Für die Bevölkerung zählen die tatsächlichen Auswirkungen im Landschaftsraum. Windenergieanlagen, Freiflächen-Photovoltaik, Umspannwerke, Leitungen und Zuwegungen verändern gemeinsam das Erscheinungsbild der Region.</w:t>
      </w:r>
    </w:p>
    <w:p>
      <w:pPr>
        <w:pStyle w:val="BodyText"/>
        <w:rPr>
          <w:rFonts w:ascii="Liberation Sans" w:hAnsi="Liberation Sans"/>
          <w:color w:val="000000"/>
          <w:sz w:val="22"/>
          <w:szCs w:val="22"/>
        </w:rPr>
      </w:pPr>
      <w:r>
        <w:rPr>
          <w:rFonts w:ascii="Liberation Sans" w:hAnsi="Liberation Sans"/>
          <w:color w:val="000000"/>
          <w:sz w:val="22"/>
          <w:szCs w:val="22"/>
        </w:rPr>
        <w:t>Je größer der Anteil technischer Energieanlagen wird, desto sorgfältiger muss geprüft werden, ob die Belastungsgrenze bereits erreicht oder überschritten ist.</w:t>
      </w:r>
    </w:p>
    <w:p>
      <w:pPr>
        <w:pStyle w:val="BodyText"/>
        <w:rPr>
          <w:rFonts w:ascii="Liberation Sans" w:hAnsi="Liberation Sans"/>
          <w:color w:val="000000"/>
          <w:sz w:val="22"/>
          <w:szCs w:val="22"/>
        </w:rPr>
      </w:pPr>
      <w:r>
        <w:rPr>
          <w:rFonts w:ascii="Liberation Sans" w:hAnsi="Liberation Sans"/>
          <w:color w:val="000000"/>
          <w:sz w:val="22"/>
          <w:szCs w:val="22"/>
        </w:rPr>
        <w:t>Die Planung enthält aus meiner Sicht keine überzeugende Begründung, weshalb die Samtgemeinde Heeseberg dauerhaft einen derart hohen Anteil ihrer Gemeindefläche für Energieerzeugung bereitstellen soll.</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Gesamtentwicklung von Windenergie und Freiflächen-Photovoltaik gemeinsam zu bewerten und nachvollziehbar darzustellen, welche Auswirkungen sich daraus für Landschaft, Natur, Landwirtschaft, Wohnqualität und die zukünftige Entwicklung der Samtgemeinde ergeben. Erst auf dieser Grundlage kann über weitere Flächenausweisungen sachgerecht entschieden werden.</w:t>
      </w:r>
    </w:p>
    <w:p>
      <w:pPr>
        <w:pStyle w:val="Heading1"/>
        <w:rPr>
          <w:rFonts w:ascii="Liberation Sans" w:hAnsi="Liberation Sans"/>
          <w:color w:val="000000"/>
          <w:sz w:val="22"/>
          <w:szCs w:val="22"/>
        </w:rPr>
      </w:pPr>
      <w:r>
        <w:rPr>
          <w:rFonts w:ascii="Liberation Sans" w:hAnsi="Liberation Sans"/>
          <w:color w:val="000000"/>
          <w:sz w:val="22"/>
          <w:szCs w:val="22"/>
        </w:rPr>
        <w:t>13. Ausbau erneuerbarer Energien erfordert eine vollständige Systembetrachtung</w:t>
      </w:r>
    </w:p>
    <w:p>
      <w:pPr>
        <w:pStyle w:val="Heading2"/>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Die Planung wird unter anderem mit den Zielen der Energiewende und des Ausbaus erneuerbarer Energien begründet.</w:t>
      </w:r>
    </w:p>
    <w:p>
      <w:pPr>
        <w:pStyle w:val="BodyText"/>
        <w:rPr>
          <w:rFonts w:ascii="Liberation Sans" w:hAnsi="Liberation Sans"/>
          <w:color w:val="000000"/>
          <w:sz w:val="22"/>
          <w:szCs w:val="22"/>
        </w:rPr>
      </w:pPr>
      <w:r>
        <w:rPr>
          <w:rFonts w:ascii="Liberation Sans" w:hAnsi="Liberation Sans"/>
          <w:color w:val="000000"/>
          <w:sz w:val="22"/>
          <w:szCs w:val="22"/>
        </w:rPr>
        <w:t>Der Ausbau der Stromerzeugung ist jedoch nur ein Bestandteil eines funktionierenden Energiesystems. Ebenso erforderlich sind leistungsfähige Stromnetze, ausreichende Speicherkapazitäten, Reservekraftwerke sowie ein wirtschaftlich tragfähiges Gesamtsystem.</w:t>
      </w:r>
    </w:p>
    <w:p>
      <w:pPr>
        <w:pStyle w:val="BodyText"/>
        <w:rPr>
          <w:rFonts w:ascii="Liberation Sans" w:hAnsi="Liberation Sans"/>
          <w:color w:val="000000"/>
          <w:sz w:val="22"/>
          <w:szCs w:val="22"/>
        </w:rPr>
      </w:pPr>
      <w:r>
        <w:rPr>
          <w:rFonts w:ascii="Liberation Sans" w:hAnsi="Liberation Sans"/>
          <w:color w:val="000000"/>
          <w:sz w:val="22"/>
          <w:szCs w:val="22"/>
        </w:rPr>
        <w:t>Die Finanzierung dieses Gesamtsystems erfolgt über Netzentgelte, Umlagen und weitere Bestandteile des Strompreises, die von privaten Haushalten, Gewerbe, Landwirtschaft und Industrie getragen werden.</w:t>
      </w:r>
    </w:p>
    <w:p>
      <w:pPr>
        <w:pStyle w:val="Heading2"/>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beschränkt sich die Planung auf die Ausweisung weiterer Flächen für Windenergieanlagen, ohne die Folgewirkungen für das gesamte Energiesystem ausreichend zu berücksichtigen.</w:t>
      </w:r>
    </w:p>
    <w:p>
      <w:pPr>
        <w:pStyle w:val="BodyText"/>
        <w:rPr>
          <w:rFonts w:ascii="Liberation Sans" w:hAnsi="Liberation Sans"/>
          <w:color w:val="000000"/>
          <w:sz w:val="22"/>
          <w:szCs w:val="22"/>
        </w:rPr>
      </w:pPr>
      <w:r>
        <w:rPr>
          <w:rFonts w:ascii="Liberation Sans" w:hAnsi="Liberation Sans"/>
          <w:color w:val="000000"/>
          <w:sz w:val="22"/>
          <w:szCs w:val="22"/>
        </w:rPr>
        <w:t>Die Errichtung zusätzlicher Windenergieanlagen macht regelmäßig weitere Investitionen in Stromnetze, Netzstabilisierung, Speicher und Systemdienstleistungen erforderlich. Diese Maßnahmen verursachen Kosten, die letztlich von den Stromverbrauchern getragen werden.</w:t>
      </w:r>
    </w:p>
    <w:p>
      <w:pPr>
        <w:pStyle w:val="BodyText"/>
        <w:rPr>
          <w:rFonts w:ascii="Liberation Sans" w:hAnsi="Liberation Sans"/>
          <w:color w:val="000000"/>
          <w:sz w:val="22"/>
          <w:szCs w:val="22"/>
        </w:rPr>
      </w:pPr>
      <w:r>
        <w:rPr>
          <w:rFonts w:ascii="Liberation Sans" w:hAnsi="Liberation Sans"/>
          <w:color w:val="000000"/>
          <w:sz w:val="22"/>
          <w:szCs w:val="22"/>
        </w:rPr>
        <w:t>Eine sachgerechte Planung sollte daher nicht ausschließlich die zusätzliche Stromerzeugung betrachten, sondern auch die technischen und wirtschaftlichen Auswirkungen des Gesamtsystems einbeziehen.</w:t>
      </w:r>
    </w:p>
    <w:p>
      <w:pPr>
        <w:pStyle w:val="Heading2"/>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energiewirtschaftliche Erforderlichkeit der geplanten Flächenausweisung nachvollziehbar darzustellen und im Rahmen der planerischen Begründung auch die Auswirkungen auf Netzausbau, Systemintegration, Versorgungssicherheit und die wirtschaftlichen Folgen des Gesamtsystems angemessen zu berücksichtigen.</w:t>
      </w:r>
    </w:p>
    <w:p>
      <w:pPr>
        <w:pStyle w:val="Heading1"/>
        <w:rPr>
          <w:rFonts w:ascii="Liberation Sans" w:hAnsi="Liberation Sans"/>
          <w:color w:val="000000"/>
          <w:sz w:val="22"/>
          <w:szCs w:val="22"/>
        </w:rPr>
      </w:pPr>
      <w:r>
        <w:rPr>
          <w:rFonts w:ascii="Liberation Sans" w:hAnsi="Liberation Sans"/>
          <w:color w:val="000000"/>
          <w:sz w:val="22"/>
          <w:szCs w:val="22"/>
        </w:rPr>
        <w:t>14. Die Akzeptanzabgabe ersetzt keine sachgerechte planerische Abwägung</w:t>
      </w:r>
    </w:p>
    <w:p>
      <w:pPr>
        <w:pStyle w:val="Heading2"/>
        <w:spacing w:before="200" w:after="283"/>
        <w:rPr>
          <w:rFonts w:ascii="Liberation Sans" w:hAnsi="Liberation Sans"/>
          <w:color w:val="000000"/>
          <w:sz w:val="22"/>
          <w:szCs w:val="22"/>
        </w:rPr>
      </w:pPr>
      <w:r>
        <w:rPr>
          <w:rFonts w:ascii="Liberation Sans" w:hAnsi="Liberation Sans"/>
          <w:color w:val="000000"/>
          <w:sz w:val="22"/>
          <w:szCs w:val="22"/>
        </w:rPr>
        <w:t>Sachverhalt</w:t>
      </w:r>
    </w:p>
    <w:p>
      <w:pPr>
        <w:pStyle w:val="BodyText"/>
        <w:rPr>
          <w:rFonts w:ascii="Liberation Sans" w:hAnsi="Liberation Sans"/>
          <w:color w:val="000000"/>
          <w:sz w:val="22"/>
          <w:szCs w:val="22"/>
        </w:rPr>
      </w:pPr>
      <w:r>
        <w:rPr>
          <w:rFonts w:ascii="Liberation Sans" w:hAnsi="Liberation Sans"/>
          <w:color w:val="000000"/>
          <w:sz w:val="22"/>
          <w:szCs w:val="22"/>
        </w:rPr>
        <w:t>Im Zusammenhang mit dem Ausbau der Windenergie wird regelmäßig auf die sogenannte Akzeptanzabgabe verwiesen. Dabei entsteht häufig der Eindruck, die betroffenen Gemeinden würden erhebliche zusätzliche Einnahmen erhalten, die frei zur Finanzierung kommunaler Aufgaben eingesetzt werden könnten.</w:t>
      </w:r>
    </w:p>
    <w:p>
      <w:pPr>
        <w:pStyle w:val="BodyText"/>
        <w:rPr>
          <w:rFonts w:ascii="Liberation Sans" w:hAnsi="Liberation Sans"/>
          <w:color w:val="000000"/>
          <w:sz w:val="22"/>
          <w:szCs w:val="22"/>
        </w:rPr>
      </w:pPr>
      <w:r>
        <w:rPr>
          <w:rFonts w:ascii="Liberation Sans" w:hAnsi="Liberation Sans"/>
          <w:color w:val="000000"/>
          <w:sz w:val="22"/>
          <w:szCs w:val="22"/>
        </w:rPr>
        <w:t>Zugleich wird der Eindruck vermittelt, dass diese Zahlungen die Belastungen für die Bevölkerung ausgleichen oder zumindest deutlich abmildern.</w:t>
      </w:r>
    </w:p>
    <w:p>
      <w:pPr>
        <w:pStyle w:val="Heading2"/>
        <w:spacing w:before="200" w:after="283"/>
        <w:rPr>
          <w:rFonts w:ascii="Liberation Sans" w:hAnsi="Liberation Sans"/>
          <w:color w:val="000000"/>
          <w:sz w:val="22"/>
          <w:szCs w:val="22"/>
        </w:rPr>
      </w:pPr>
      <w:r>
        <w:rPr>
          <w:rFonts w:ascii="Liberation Sans" w:hAnsi="Liberation Sans"/>
          <w:color w:val="000000"/>
          <w:sz w:val="22"/>
          <w:szCs w:val="22"/>
        </w:rPr>
        <w:t>Kritik</w:t>
      </w:r>
    </w:p>
    <w:p>
      <w:pPr>
        <w:pStyle w:val="BodyText"/>
        <w:rPr>
          <w:rFonts w:ascii="Liberation Sans" w:hAnsi="Liberation Sans"/>
          <w:color w:val="000000"/>
          <w:sz w:val="22"/>
          <w:szCs w:val="22"/>
        </w:rPr>
      </w:pPr>
      <w:r>
        <w:rPr>
          <w:rFonts w:ascii="Liberation Sans" w:hAnsi="Liberation Sans"/>
          <w:color w:val="000000"/>
          <w:sz w:val="22"/>
          <w:szCs w:val="22"/>
        </w:rPr>
        <w:t>Nach meiner Auffassung greift diese Darstellung zu kurz.</w:t>
      </w:r>
    </w:p>
    <w:p>
      <w:pPr>
        <w:pStyle w:val="BodyText"/>
        <w:rPr>
          <w:rFonts w:ascii="Liberation Sans" w:hAnsi="Liberation Sans"/>
          <w:color w:val="000000"/>
          <w:sz w:val="22"/>
          <w:szCs w:val="22"/>
        </w:rPr>
      </w:pPr>
      <w:r>
        <w:rPr>
          <w:rFonts w:ascii="Liberation Sans" w:hAnsi="Liberation Sans"/>
          <w:color w:val="000000"/>
          <w:sz w:val="22"/>
          <w:szCs w:val="22"/>
        </w:rPr>
        <w:t>Die Akzeptanzabgabe ist keine zwingende gesetzliche Verpflichtung, sondern beruht auf einer freiwilligen Leistung des Anlagenbetreibers im Rahmen der gesetzlichen Möglichkeiten. Bereits deshalb kann sie keine verlässliche Grundlage für die planerische Abwägung sein.</w:t>
      </w:r>
    </w:p>
    <w:p>
      <w:pPr>
        <w:pStyle w:val="BodyText"/>
        <w:rPr>
          <w:rFonts w:ascii="Liberation Sans" w:hAnsi="Liberation Sans"/>
          <w:color w:val="000000"/>
          <w:sz w:val="22"/>
          <w:szCs w:val="22"/>
        </w:rPr>
      </w:pPr>
      <w:r>
        <w:rPr>
          <w:rFonts w:ascii="Liberation Sans" w:hAnsi="Liberation Sans"/>
          <w:color w:val="000000"/>
          <w:sz w:val="22"/>
          <w:szCs w:val="22"/>
        </w:rPr>
        <w:t>Hinzu kommt, dass diese Mittel nicht beliebig zur allgemeinen Haushaltsfinanzierung eingesetzt werden können. Sie ersetzen weder eine solide Kommunalfinanzierung noch stellen sie einen Ausgleich für die dauerhaften Auswirkungen auf Landschaft, Natur, Wohnqualität oder Eigentum dar.</w:t>
      </w:r>
    </w:p>
    <w:p>
      <w:pPr>
        <w:pStyle w:val="BodyText"/>
        <w:rPr>
          <w:rFonts w:ascii="Liberation Sans" w:hAnsi="Liberation Sans"/>
          <w:color w:val="000000"/>
          <w:sz w:val="22"/>
          <w:szCs w:val="22"/>
        </w:rPr>
      </w:pPr>
      <w:r>
        <w:rPr>
          <w:rFonts w:ascii="Liberation Sans" w:hAnsi="Liberation Sans"/>
          <w:color w:val="000000"/>
          <w:sz w:val="22"/>
          <w:szCs w:val="22"/>
        </w:rPr>
        <w:t>Die eigentlichen Belastungen tragen die Bürgerinnen und Bürger unmittelbar:</w:t>
      </w:r>
    </w:p>
    <w:p>
      <w:pPr>
        <w:pStyle w:val="BodyText"/>
        <w:numPr>
          <w:ilvl w:val="0"/>
          <w:numId w:val="8"/>
        </w:numPr>
        <w:tabs>
          <w:tab w:val="clear" w:pos="720"/>
          <w:tab w:val="left" w:pos="0" w:leader="none"/>
        </w:tabs>
        <w:ind w:hanging="283" w:start="709"/>
        <w:rPr>
          <w:rFonts w:ascii="Liberation Sans" w:hAnsi="Liberation Sans"/>
          <w:color w:val="000000"/>
          <w:sz w:val="22"/>
          <w:szCs w:val="22"/>
        </w:rPr>
      </w:pPr>
      <w:r>
        <w:rPr>
          <w:rFonts w:ascii="Liberation Sans" w:hAnsi="Liberation Sans"/>
          <w:color w:val="000000"/>
          <w:sz w:val="22"/>
          <w:szCs w:val="22"/>
        </w:rPr>
        <w:t>durch die Veränderung des Landschaftsbildes,</w:t>
      </w:r>
    </w:p>
    <w:p>
      <w:pPr>
        <w:pStyle w:val="BodyText"/>
        <w:numPr>
          <w:ilvl w:val="0"/>
          <w:numId w:val="8"/>
        </w:numPr>
        <w:tabs>
          <w:tab w:val="clear" w:pos="720"/>
          <w:tab w:val="left" w:pos="0" w:leader="none"/>
        </w:tabs>
        <w:ind w:hanging="283" w:start="709"/>
        <w:rPr>
          <w:rFonts w:ascii="Liberation Sans" w:hAnsi="Liberation Sans"/>
          <w:color w:val="000000"/>
          <w:sz w:val="22"/>
          <w:szCs w:val="22"/>
        </w:rPr>
      </w:pPr>
      <w:r>
        <w:rPr>
          <w:rFonts w:ascii="Liberation Sans" w:hAnsi="Liberation Sans"/>
          <w:color w:val="000000"/>
          <w:sz w:val="22"/>
          <w:szCs w:val="22"/>
        </w:rPr>
        <w:t>durch Einschränkungen der Wohn- und Lebensqualität,</w:t>
      </w:r>
    </w:p>
    <w:p>
      <w:pPr>
        <w:pStyle w:val="BodyText"/>
        <w:numPr>
          <w:ilvl w:val="0"/>
          <w:numId w:val="8"/>
        </w:numPr>
        <w:tabs>
          <w:tab w:val="clear" w:pos="720"/>
          <w:tab w:val="left" w:pos="0" w:leader="none"/>
        </w:tabs>
        <w:ind w:hanging="283" w:start="709"/>
        <w:rPr>
          <w:rFonts w:ascii="Liberation Sans" w:hAnsi="Liberation Sans"/>
          <w:color w:val="000000"/>
          <w:sz w:val="22"/>
          <w:szCs w:val="22"/>
        </w:rPr>
      </w:pPr>
      <w:r>
        <w:rPr>
          <w:rFonts w:ascii="Liberation Sans" w:hAnsi="Liberation Sans"/>
          <w:color w:val="000000"/>
          <w:sz w:val="22"/>
          <w:szCs w:val="22"/>
        </w:rPr>
        <w:t>durch Eingriffe in Natur und Kulturlandschaft,</w:t>
      </w:r>
    </w:p>
    <w:p>
      <w:pPr>
        <w:pStyle w:val="BodyText"/>
        <w:numPr>
          <w:ilvl w:val="0"/>
          <w:numId w:val="8"/>
        </w:numPr>
        <w:tabs>
          <w:tab w:val="clear" w:pos="720"/>
          <w:tab w:val="left" w:pos="0" w:leader="none"/>
        </w:tabs>
        <w:ind w:hanging="283" w:start="709"/>
        <w:rPr>
          <w:rFonts w:ascii="Liberation Sans" w:hAnsi="Liberation Sans"/>
          <w:color w:val="000000"/>
          <w:sz w:val="22"/>
          <w:szCs w:val="22"/>
        </w:rPr>
      </w:pPr>
      <w:r>
        <w:rPr>
          <w:rFonts w:ascii="Liberation Sans" w:hAnsi="Liberation Sans"/>
          <w:color w:val="000000"/>
          <w:sz w:val="22"/>
          <w:szCs w:val="22"/>
        </w:rPr>
        <w:t>sowie gegebenenfalls durch wirtschaftliche Nachteile ihrer Immobilien.</w:t>
      </w:r>
    </w:p>
    <w:p>
      <w:pPr>
        <w:pStyle w:val="BodyText"/>
        <w:rPr>
          <w:rFonts w:ascii="Liberation Sans" w:hAnsi="Liberation Sans"/>
          <w:color w:val="000000"/>
          <w:sz w:val="22"/>
          <w:szCs w:val="22"/>
        </w:rPr>
      </w:pPr>
      <w:r>
        <w:rPr>
          <w:rFonts w:ascii="Liberation Sans" w:hAnsi="Liberation Sans"/>
          <w:color w:val="000000"/>
          <w:sz w:val="22"/>
          <w:szCs w:val="22"/>
        </w:rPr>
        <w:t>Demgegenüber erhält die Allgemeinheit – sofern überhaupt Zahlungen erfolgen – lediglich einen begrenzten finanziellen Vorteil, der die tatsächlichen Auswirkungen der Planung nicht aufwiegt.</w:t>
      </w:r>
    </w:p>
    <w:p>
      <w:pPr>
        <w:pStyle w:val="BodyText"/>
        <w:rPr>
          <w:rFonts w:ascii="Liberation Sans" w:hAnsi="Liberation Sans"/>
          <w:color w:val="000000"/>
          <w:sz w:val="22"/>
          <w:szCs w:val="22"/>
        </w:rPr>
      </w:pPr>
      <w:r>
        <w:rPr>
          <w:rFonts w:ascii="Liberation Sans" w:hAnsi="Liberation Sans"/>
          <w:color w:val="000000"/>
          <w:sz w:val="22"/>
          <w:szCs w:val="22"/>
        </w:rPr>
        <w:t>Nach meiner Auffassung besteht deshalb die Gefahr, dass die Akzeptanzabgabe in der öffentlichen Diskussion als Argument für die Planung überbewertet wird.</w:t>
      </w:r>
    </w:p>
    <w:p>
      <w:pPr>
        <w:pStyle w:val="BodyText"/>
        <w:rPr>
          <w:rFonts w:ascii="Liberation Sans" w:hAnsi="Liberation Sans"/>
          <w:color w:val="000000"/>
          <w:sz w:val="22"/>
          <w:szCs w:val="22"/>
        </w:rPr>
      </w:pPr>
      <w:r>
        <w:rPr>
          <w:rFonts w:ascii="Liberation Sans" w:hAnsi="Liberation Sans"/>
          <w:color w:val="000000"/>
          <w:sz w:val="22"/>
          <w:szCs w:val="22"/>
        </w:rPr>
        <w:t>Sie darf jedoch weder die gesetzlich vorgeschriebene Abwägung ersetzen noch als Rechtfertigung für erhebliche Eingriffe in Landschaft, Natur und Wohnumfeld herangezogen werden.</w:t>
      </w:r>
    </w:p>
    <w:p>
      <w:pPr>
        <w:pStyle w:val="Heading2"/>
        <w:spacing w:before="200" w:after="283"/>
        <w:rPr>
          <w:rFonts w:ascii="Liberation Sans" w:hAnsi="Liberation Sans"/>
          <w:color w:val="000000"/>
          <w:sz w:val="22"/>
          <w:szCs w:val="22"/>
        </w:rPr>
      </w:pPr>
      <w:r>
        <w:rPr>
          <w:rFonts w:ascii="Liberation Sans" w:hAnsi="Liberation Sans"/>
          <w:color w:val="000000"/>
          <w:sz w:val="22"/>
          <w:szCs w:val="22"/>
        </w:rPr>
        <w:t>Forderung</w:t>
      </w:r>
    </w:p>
    <w:p>
      <w:pPr>
        <w:pStyle w:val="BodyText"/>
        <w:rPr>
          <w:rFonts w:ascii="Liberation Sans" w:hAnsi="Liberation Sans"/>
          <w:color w:val="000000"/>
          <w:sz w:val="22"/>
          <w:szCs w:val="22"/>
        </w:rPr>
      </w:pPr>
      <w:r>
        <w:rPr>
          <w:rFonts w:ascii="Liberation Sans" w:hAnsi="Liberation Sans"/>
          <w:color w:val="000000"/>
          <w:sz w:val="22"/>
          <w:szCs w:val="22"/>
        </w:rPr>
        <w:t>Ich fordere die Samtgemeinde Heeseberg auf, die sogenannte Akzeptanzabgabe bei der planerischen Abwägung nicht als Ausgleich für die erheblichen Belastungen der betroffenen Bevölkerung zu bewerten.</w:t>
      </w:r>
    </w:p>
    <w:p>
      <w:pPr>
        <w:pStyle w:val="BodyText"/>
        <w:rPr>
          <w:rFonts w:ascii="Liberation Sans" w:hAnsi="Liberation Sans"/>
          <w:color w:val="000000"/>
          <w:sz w:val="22"/>
          <w:szCs w:val="22"/>
        </w:rPr>
      </w:pPr>
      <w:r>
        <w:rPr>
          <w:rFonts w:ascii="Liberation Sans" w:hAnsi="Liberation Sans"/>
          <w:color w:val="000000"/>
          <w:sz w:val="22"/>
          <w:szCs w:val="22"/>
        </w:rPr>
        <w:t>Die Entscheidung über die Ausweisung weiterer Windenergieflächen muss ausschließlich auf einer vollständigen und sachgerechten Abwägung aller öffentlichen und privaten Belange beruhen. Finanzielle Zuwendungen dürfen die Bewertung der tatsächlichen Auswirkungen auf Mensch, Natur, Landschaft und Eigentum weder ersetzen noch relativieren.</w:t>
      </w:r>
    </w:p>
    <w:p>
      <w:pPr>
        <w:pStyle w:val="BodyText"/>
        <w:rPr>
          <w:rFonts w:ascii="Liberation Sans" w:hAnsi="Liberation Sans"/>
          <w:color w:val="000000"/>
          <w:sz w:val="22"/>
          <w:szCs w:val="22"/>
        </w:rPr>
      </w:pPr>
      <w:r>
        <w:rPr>
          <w:rFonts w:ascii="Liberation Sans" w:hAnsi="Liberation Sans"/>
          <w:color w:val="000000"/>
          <w:sz w:val="22"/>
          <w:szCs w:val="22"/>
        </w:rPr>
      </w:r>
    </w:p>
    <w:p>
      <w:pPr>
        <w:pStyle w:val="BodyText"/>
        <w:rPr>
          <w:rFonts w:ascii="Liberation Sans" w:hAnsi="Liberation Sans"/>
          <w:color w:val="000000"/>
          <w:sz w:val="22"/>
          <w:szCs w:val="22"/>
        </w:rPr>
      </w:pPr>
      <w:r>
        <w:rPr>
          <w:rFonts w:ascii="Liberation Sans" w:hAnsi="Liberation Sans"/>
          <w:color w:val="000000"/>
          <w:sz w:val="22"/>
          <w:szCs w:val="22"/>
        </w:rPr>
      </w:r>
    </w:p>
    <w:p>
      <w:pPr>
        <w:pStyle w:val="Normal"/>
        <w:jc w:val="start"/>
        <w:rPr>
          <w:rFonts w:ascii="Liberation Sans" w:hAnsi="Liberation Sans"/>
          <w:color w:val="000000"/>
          <w:sz w:val="24"/>
          <w:szCs w:val="24"/>
        </w:rPr>
      </w:pPr>
      <w:r>
        <w:rPr>
          <w:rFonts w:ascii="Liberation Sans" w:hAnsi="Liberation Sans"/>
          <w:color w:val="000000"/>
          <w:sz w:val="24"/>
          <w:szCs w:val="24"/>
        </w:rPr>
        <w:t xml:space="preserve">Ich bitte um eine Eingangsbestätigung und um Mitteilung, wann und wo die Beratung und Abwägung der eingegangenen Stellungnahmen erfolgen wird. </w:t>
      </w:r>
      <w:r>
        <w:rPr>
          <w:rFonts w:ascii="Liberation Sans" w:hAnsi="Liberation Sans"/>
          <w:color w:val="000000"/>
          <w:sz w:val="24"/>
          <w:szCs w:val="24"/>
        </w:rPr>
        <w:t xml:space="preserve">Weiterhin bitte ich </w:t>
      </w:r>
      <w:r>
        <w:rPr>
          <w:rFonts w:ascii="Liberation Sans" w:hAnsi="Liberation Sans"/>
          <w:color w:val="000000"/>
          <w:sz w:val="24"/>
          <w:szCs w:val="24"/>
        </w:rPr>
        <w:t>um Aufnahme dieser Stellungnahme in die Verfahrensakte.</w:t>
      </w:r>
    </w:p>
    <w:p>
      <w:pPr>
        <w:pStyle w:val="Normal"/>
        <w:rPr>
          <w:rFonts w:ascii="Liberation Sans" w:hAnsi="Liberation Sans"/>
          <w:color w:val="000000"/>
          <w:sz w:val="24"/>
          <w:szCs w:val="24"/>
        </w:rPr>
      </w:pPr>
      <w:r>
        <w:rPr>
          <w:rFonts w:ascii="Liberation Sans" w:hAnsi="Liberation Sans"/>
          <w:color w:val="000000"/>
          <w:sz w:val="24"/>
          <w:szCs w:val="24"/>
        </w:rPr>
      </w:r>
    </w:p>
    <w:p>
      <w:pPr>
        <w:pStyle w:val="Normal"/>
        <w:rPr>
          <w:rFonts w:ascii="Liberation Sans" w:hAnsi="Liberation Sans"/>
          <w:color w:val="000000"/>
          <w:sz w:val="24"/>
          <w:szCs w:val="24"/>
        </w:rPr>
      </w:pPr>
      <w:r>
        <w:rPr>
          <w:rFonts w:ascii="Liberation Sans" w:hAnsi="Liberation Sans"/>
          <w:color w:val="000000"/>
          <w:sz w:val="24"/>
          <w:szCs w:val="24"/>
        </w:rPr>
        <w:t>Mit freundlichen Grüßen</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2">
                <wp:simplePos x="0" y="0"/>
                <wp:positionH relativeFrom="column">
                  <wp:posOffset>3175</wp:posOffset>
                </wp:positionH>
                <wp:positionV relativeFrom="paragraph">
                  <wp:posOffset>133350</wp:posOffset>
                </wp:positionV>
                <wp:extent cx="5400675" cy="0"/>
                <wp:effectExtent l="635" t="635" r="635" b="635"/>
                <wp:wrapNone/>
                <wp:docPr id="4" name="Horizontale Linie 1"/>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1"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Ort, Datum</w:t>
      </w:r>
    </w:p>
    <w:p>
      <w:pPr>
        <w:pStyle w:val="Normal"/>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3">
                <wp:simplePos x="0" y="0"/>
                <wp:positionH relativeFrom="column">
                  <wp:posOffset>3175</wp:posOffset>
                </wp:positionH>
                <wp:positionV relativeFrom="paragraph">
                  <wp:posOffset>133350</wp:posOffset>
                </wp:positionV>
                <wp:extent cx="5400675" cy="0"/>
                <wp:effectExtent l="635" t="635" r="635" b="635"/>
                <wp:wrapNone/>
                <wp:docPr id="5" name="Horizontale Linie 2"/>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2" stroked="t" o:allowincell="f" style="position:absolute">
                <v:stroke color="#3465a4" dashstyle="shortdot" joinstyle="round" endcap="flat"/>
                <v:fill o:detectmouseclick="t" on="false"/>
                <w10:wrap type="none"/>
              </v:line>
            </w:pict>
          </mc:Fallback>
        </mc:AlternateContent>
      </w:r>
    </w:p>
    <w:p>
      <w:pPr>
        <w:pStyle w:val="Normal"/>
        <w:rPr>
          <w:rFonts w:ascii="Liberation Sans" w:hAnsi="Liberation Sans"/>
          <w:color w:val="000000"/>
          <w:sz w:val="24"/>
          <w:szCs w:val="24"/>
        </w:rPr>
      </w:pPr>
      <w:r>
        <w:rPr>
          <w:rFonts w:ascii="Liberation Sans" w:hAnsi="Liberation Sans"/>
          <w:color w:val="000000"/>
          <w:sz w:val="24"/>
          <w:szCs w:val="24"/>
        </w:rPr>
        <w:t>Unterschrift</w:t>
      </w:r>
    </w:p>
    <w:p>
      <w:pPr>
        <w:pStyle w:val="Normal"/>
        <w:spacing w:before="0" w:after="200"/>
        <w:rPr>
          <w:rFonts w:ascii="Liberation Sans" w:hAnsi="Liberation Sans"/>
          <w:color w:val="000000"/>
          <w:sz w:val="24"/>
          <w:szCs w:val="24"/>
        </w:rPr>
      </w:pPr>
      <w:r>
        <w:rPr>
          <w:rFonts w:ascii="Liberation Sans" w:hAnsi="Liberation Sans"/>
          <w:color w:val="000000"/>
          <w:sz w:val="24"/>
          <w:szCs w:val="24"/>
        </w:rPr>
        <mc:AlternateContent>
          <mc:Choice Requires="wps">
            <w:drawing>
              <wp:anchor behindDoc="0" distT="0" distB="0" distL="0" distR="0" simplePos="0" locked="0" layoutInCell="1" allowOverlap="1" relativeHeight="7">
                <wp:simplePos x="0" y="0"/>
                <wp:positionH relativeFrom="column">
                  <wp:posOffset>3175</wp:posOffset>
                </wp:positionH>
                <wp:positionV relativeFrom="paragraph">
                  <wp:posOffset>133350</wp:posOffset>
                </wp:positionV>
                <wp:extent cx="5400675" cy="0"/>
                <wp:effectExtent l="635" t="635" r="635" b="635"/>
                <wp:wrapNone/>
                <wp:docPr id="6" name="Horizontale Linie 18"/>
                <a:graphic xmlns:a="http://schemas.openxmlformats.org/drawingml/2006/main">
                  <a:graphicData uri="http://schemas.microsoft.com/office/word/2010/wordprocessingShape">
                    <wps:wsp>
                      <wps:cNvSpPr/>
                      <wps:spPr>
                        <a:xfrm>
                          <a:off x="0" y="0"/>
                          <a:ext cx="5400720" cy="0"/>
                        </a:xfrm>
                        <a:prstGeom prst="line">
                          <a:avLst/>
                        </a:prstGeom>
                        <a:ln w="0">
                          <a:solidFill>
                            <a:srgbClr val="3465a4"/>
                          </a:solidFill>
                          <a:prstDash val="sysDot"/>
                        </a:ln>
                      </wps:spPr>
                      <wps:style>
                        <a:lnRef idx="0"/>
                        <a:fillRef idx="0"/>
                        <a:effectRef idx="0"/>
                        <a:fontRef idx="minor"/>
                      </wps:style>
                      <wps:bodyPr/>
                    </wps:wsp>
                  </a:graphicData>
                </a:graphic>
              </wp:anchor>
            </w:drawing>
          </mc:Choice>
          <mc:Fallback>
            <w:pict>
              <v:line id="shape_0" from="0.25pt,10.5pt" to="425.45pt,10.5pt" ID="Horizontale Linie 18" stroked="t" o:allowincell="f" style="position:absolute">
                <v:stroke color="#3465a4" dashstyle="shortdot" joinstyle="round" endcap="flat"/>
                <v:fill o:detectmouseclick="t" on="false"/>
                <w10:wrap type="none"/>
              </v:line>
            </w:pict>
          </mc:Fallback>
        </mc:AlternateContent>
      </w:r>
    </w:p>
    <w:sectPr>
      <w:headerReference w:type="default" r:id="rId2"/>
      <w:footerReference w:type="default" r:id="rId3"/>
      <w:type w:val="nextPage"/>
      <w:pgSz w:w="12240" w:h="15840"/>
      <w:pgMar w:left="1800" w:right="1800" w:gutter="0" w:header="607" w:top="1338" w:footer="515" w:bottom="14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p>
    <w:pPr>
      <w:pStyle w:val="Footer"/>
      <w:tabs>
        <w:tab w:val="clear" w:pos="4680"/>
        <w:tab w:val="clear" w:pos="9360"/>
        <w:tab w:val="center" w:pos="4142" w:leader="none"/>
        <w:tab w:val="right" w:pos="8639" w:leader="none"/>
      </w:tabs>
      <w:rPr/>
    </w:pPr>
    <w:r>
      <w:rPr/>
      <w:tab/>
      <w:tab/>
      <w:t xml:space="preserve">Seite </w:t>
    </w:r>
    <w:r>
      <w:rPr/>
      <w:fldChar w:fldCharType="begin"/>
    </w:r>
    <w:r>
      <w:rPr/>
      <w:instrText xml:space="preserve"> PAGE </w:instrText>
    </w:r>
    <w:r>
      <w:rPr/>
      <w:fldChar w:fldCharType="separate"/>
    </w:r>
    <w:r>
      <w:rPr/>
      <w:t>11</w:t>
    </w:r>
    <w:r>
      <w:rPr/>
      <w:fldChar w:fldCharType="end"/>
    </w:r>
    <w:r>
      <w:rPr/>
      <w:t xml:space="preserve"> von </w:t>
    </w:r>
    <w:r>
      <w:rPr/>
      <w:fldChar w:fldCharType="begin"/>
    </w:r>
    <w:r>
      <w:rPr/>
      <w:instrText xml:space="preserve"> NUMPAGES </w:instrText>
    </w:r>
    <w:r>
      <w:rPr/>
      <w:fldChar w:fldCharType="separate"/>
    </w:r>
    <w:r>
      <w:rPr/>
      <w:t>11</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9360"/>
        <w:tab w:val="center" w:pos="4680" w:leader="none"/>
        <w:tab w:val="right" w:pos="8617" w:leader="none"/>
      </w:tabs>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start"/>
      <w:pPr>
        <w:tabs>
          <w:tab w:val="num" w:pos="0"/>
        </w:tabs>
        <w:ind w:start="0" w:hanging="0"/>
      </w:pPr>
    </w:lvl>
    <w:lvl w:ilvl="1">
      <w:start w:val="1"/>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abstractNum w:abstractNumId="2">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8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Noto Sans Arabic UI"/>
        <w:sz w:val="22"/>
        <w:szCs w:val="22"/>
        <w:lang w:val="de-DE" w:eastAsia="en-US" w:bidi="ar-SA"/>
      </w:rPr>
    </w:rPrDefault>
    <w:pPrDefault>
      <w:pPr>
        <w:suppressAutoHyphens w:val="true"/>
      </w:pPr>
    </w:pPrDefault>
  </w:docDefaults>
  <w:style w:type="paragraph" w:styleId="Normal">
    <w:name w:val="Normal"/>
    <w:qFormat/>
    <w:pPr>
      <w:widowControl/>
      <w:kinsoku w:val="true"/>
      <w:overflowPunct w:val="true"/>
      <w:autoSpaceDE w:val="true"/>
      <w:bidi w:val="0"/>
      <w:spacing w:lineRule="auto" w:line="276" w:before="0" w:after="200"/>
      <w:jc w:val="start"/>
    </w:pPr>
    <w:rPr>
      <w:rFonts w:ascii="Cambria" w:hAnsi="Cambria" w:eastAsia="ＭＳ 明朝" w:cs="Noto Sans Arabic UI"/>
      <w:color w:val="auto"/>
      <w:kern w:val="0"/>
      <w:sz w:val="22"/>
      <w:szCs w:val="22"/>
      <w:lang w:val="de-DE" w:eastAsia="en-US" w:bidi="ar-SA"/>
    </w:rPr>
  </w:style>
  <w:style w:type="paragraph" w:styleId="Heading1">
    <w:name w:val="Heading 1"/>
    <w:basedOn w:val="Normal"/>
    <w:next w:val="Normal"/>
    <w:link w:val="Heading1Char"/>
    <w:qFormat/>
    <w:pPr>
      <w:keepNext w:val="true"/>
      <w:keepLines/>
      <w:numPr>
        <w:ilvl w:val="0"/>
        <w:numId w:val="0"/>
      </w:numPr>
      <w:spacing w:before="480" w:after="0"/>
      <w:outlineLvl w:val="0"/>
    </w:pPr>
    <w:rPr>
      <w:rFonts w:ascii="Calibri" w:hAnsi="Calibri" w:eastAsia="ＭＳ ゴシック" w:cs="Noto Sans Arabic UI"/>
      <w:b/>
      <w:bCs/>
      <w:color w:themeColor="accent1" w:themeShade="bf" w:val="365F91"/>
      <w:sz w:val="28"/>
      <w:szCs w:val="28"/>
    </w:rPr>
  </w:style>
  <w:style w:type="paragraph" w:styleId="Heading2">
    <w:name w:val="Heading 2"/>
    <w:basedOn w:val="Normal"/>
    <w:next w:val="Normal"/>
    <w:link w:val="Heading2Char"/>
    <w:qFormat/>
    <w:pPr>
      <w:keepNext w:val="true"/>
      <w:keepLines/>
      <w:numPr>
        <w:ilvl w:val="0"/>
        <w:numId w:val="0"/>
      </w:numPr>
      <w:spacing w:before="200" w:after="0"/>
      <w:outlineLvl w:val="1"/>
    </w:pPr>
    <w:rPr>
      <w:rFonts w:ascii="Calibri" w:hAnsi="Calibri" w:eastAsia="ＭＳ ゴシック" w:cs="Noto Sans Arabic UI"/>
      <w:b/>
      <w:bCs/>
      <w:color w:themeColor="accent1" w:val="4F81BD"/>
      <w:sz w:val="26"/>
      <w:szCs w:val="26"/>
    </w:rPr>
  </w:style>
  <w:style w:type="paragraph" w:styleId="Heading3">
    <w:name w:val="Heading 3"/>
    <w:basedOn w:val="Normal"/>
    <w:next w:val="Normal"/>
    <w:link w:val="Heading3Char"/>
    <w:qFormat/>
    <w:pPr>
      <w:keepNext w:val="true"/>
      <w:keepLines/>
      <w:numPr>
        <w:ilvl w:val="0"/>
        <w:numId w:val="0"/>
      </w:numPr>
      <w:spacing w:before="200" w:after="0"/>
      <w:outlineLvl w:val="2"/>
    </w:pPr>
    <w:rPr>
      <w:rFonts w:ascii="Calibri" w:hAnsi="Calibri" w:eastAsia="ＭＳ ゴシック" w:cs="Noto Sans Arabic UI"/>
      <w:b/>
      <w:bCs/>
      <w:color w:themeColor="accent1" w:val="4F81BD"/>
    </w:rPr>
  </w:style>
  <w:style w:type="paragraph" w:styleId="Heading4">
    <w:name w:val="Heading 4"/>
    <w:basedOn w:val="Normal"/>
    <w:next w:val="Normal"/>
    <w:link w:val="Heading4Char"/>
    <w:qFormat/>
    <w:pPr>
      <w:keepNext w:val="true"/>
      <w:keepLines/>
      <w:numPr>
        <w:ilvl w:val="0"/>
        <w:numId w:val="0"/>
      </w:numPr>
      <w:spacing w:before="200" w:after="0"/>
      <w:outlineLvl w:val="3"/>
    </w:pPr>
    <w:rPr>
      <w:rFonts w:ascii="Calibri" w:hAnsi="Calibri" w:eastAsia="ＭＳ ゴシック" w:cs="Noto Sans Arabic UI"/>
      <w:b/>
      <w:bCs/>
      <w:i/>
      <w:iCs/>
      <w:color w:themeColor="accent1" w:val="4F81BD"/>
    </w:rPr>
  </w:style>
  <w:style w:type="paragraph" w:styleId="Heading5">
    <w:name w:val="Heading 5"/>
    <w:basedOn w:val="Normal"/>
    <w:next w:val="Normal"/>
    <w:link w:val="Heading5Char"/>
    <w:qFormat/>
    <w:pPr>
      <w:keepNext w:val="true"/>
      <w:keepLines/>
      <w:numPr>
        <w:ilvl w:val="0"/>
        <w:numId w:val="0"/>
      </w:numPr>
      <w:spacing w:before="200" w:after="0"/>
      <w:outlineLvl w:val="4"/>
    </w:pPr>
    <w:rPr>
      <w:rFonts w:ascii="Calibri" w:hAnsi="Calibri" w:eastAsia="ＭＳ ゴシック" w:cs="Noto Sans Arabic UI"/>
      <w:color w:themeColor="accent1" w:themeShade="7f" w:val="243F60"/>
    </w:rPr>
  </w:style>
  <w:style w:type="paragraph" w:styleId="Heading6">
    <w:name w:val="Heading 6"/>
    <w:basedOn w:val="Normal"/>
    <w:next w:val="Normal"/>
    <w:link w:val="Heading6Char"/>
    <w:qFormat/>
    <w:pPr>
      <w:keepNext w:val="true"/>
      <w:keepLines/>
      <w:numPr>
        <w:ilvl w:val="0"/>
        <w:numId w:val="0"/>
      </w:numPr>
      <w:spacing w:before="200" w:after="0"/>
      <w:outlineLvl w:val="5"/>
    </w:pPr>
    <w:rPr>
      <w:rFonts w:ascii="Calibri" w:hAnsi="Calibri" w:eastAsia="ＭＳ ゴシック" w:cs="Noto Sans Arabic UI"/>
      <w:i/>
      <w:iCs/>
      <w:color w:themeColor="accent1" w:themeShade="7f" w:val="243F60"/>
    </w:rPr>
  </w:style>
  <w:style w:type="paragraph" w:styleId="Heading7">
    <w:name w:val="Heading 7"/>
    <w:basedOn w:val="Normal"/>
    <w:next w:val="Normal"/>
    <w:link w:val="Heading7Char"/>
    <w:qFormat/>
    <w:pPr>
      <w:keepNext w:val="true"/>
      <w:keepLines/>
      <w:numPr>
        <w:ilvl w:val="0"/>
        <w:numId w:val="0"/>
      </w:numPr>
      <w:spacing w:before="200" w:after="0"/>
      <w:outlineLvl w:val="6"/>
    </w:pPr>
    <w:rPr>
      <w:rFonts w:ascii="Calibri" w:hAnsi="Calibri" w:eastAsia="ＭＳ ゴシック" w:cs="Noto Sans Arabic UI"/>
      <w:i/>
      <w:iCs/>
      <w:color w:themeColor="dark1" w:themeTint="bf" w:val="404040"/>
    </w:rPr>
  </w:style>
  <w:style w:type="paragraph" w:styleId="Heading8">
    <w:name w:val="Heading 8"/>
    <w:basedOn w:val="Normal"/>
    <w:next w:val="Normal"/>
    <w:link w:val="Heading8Char"/>
    <w:qFormat/>
    <w:pPr>
      <w:keepNext w:val="true"/>
      <w:keepLines/>
      <w:numPr>
        <w:ilvl w:val="0"/>
        <w:numId w:val="0"/>
      </w:numPr>
      <w:spacing w:before="200" w:after="0"/>
      <w:outlineLvl w:val="7"/>
    </w:pPr>
    <w:rPr>
      <w:rFonts w:ascii="Calibri" w:hAnsi="Calibri" w:eastAsia="ＭＳ ゴシック" w:cs="Noto Sans Arabic UI"/>
      <w:color w:themeColor="accent1" w:val="4F81BD"/>
      <w:sz w:val="20"/>
      <w:szCs w:val="20"/>
    </w:rPr>
  </w:style>
  <w:style w:type="paragraph" w:styleId="Heading9">
    <w:name w:val="Heading 9"/>
    <w:basedOn w:val="Normal"/>
    <w:next w:val="Normal"/>
    <w:link w:val="Heading9Char"/>
    <w:qFormat/>
    <w:pPr>
      <w:keepNext w:val="true"/>
      <w:keepLines/>
      <w:numPr>
        <w:ilvl w:val="0"/>
        <w:numId w:val="0"/>
      </w:numPr>
      <w:spacing w:before="200" w:after="0"/>
      <w:outlineLvl w:val="8"/>
    </w:pPr>
    <w:rPr>
      <w:rFonts w:ascii="Calibri" w:hAnsi="Calibri" w:eastAsia="ＭＳ ゴシック" w:cs="Noto Sans Arabic UI"/>
      <w:i/>
      <w:iCs/>
      <w:color w:themeColor="dark1" w:themeTint="bf" w:val="404040"/>
      <w:sz w:val="20"/>
      <w:szCs w:val="20"/>
    </w:rPr>
  </w:style>
  <w:style w:type="character" w:styleId="HeaderChar">
    <w:name w:val="Header Char"/>
    <w:basedOn w:val="DefaultParagraphFont"/>
    <w:qFormat/>
    <w:rPr/>
  </w:style>
  <w:style w:type="character" w:styleId="FooterChar">
    <w:name w:val="Footer Char"/>
    <w:basedOn w:val="DefaultParagraphFont"/>
    <w:qFormat/>
    <w:rPr/>
  </w:style>
  <w:style w:type="character" w:styleId="DefaultParagraphFont">
    <w:name w:val="Default Paragraph Font"/>
    <w:qFormat/>
    <w:rPr/>
  </w:style>
  <w:style w:type="character" w:styleId="Heading1Char">
    <w:name w:val="Heading 1 Char"/>
    <w:basedOn w:val="DefaultParagraphFont"/>
    <w:qFormat/>
    <w:rPr>
      <w:rFonts w:ascii="Calibri" w:hAnsi="Calibri" w:eastAsia="ＭＳ ゴシック" w:cs="Noto Sans Arabic UI"/>
      <w:b/>
      <w:bCs/>
      <w:color w:themeColor="accent1" w:themeShade="bf" w:val="365F91"/>
      <w:sz w:val="28"/>
      <w:szCs w:val="28"/>
    </w:rPr>
  </w:style>
  <w:style w:type="character" w:styleId="Heading2Char">
    <w:name w:val="Heading 2 Char"/>
    <w:basedOn w:val="DefaultParagraphFont"/>
    <w:qFormat/>
    <w:rPr>
      <w:rFonts w:ascii="Calibri" w:hAnsi="Calibri" w:eastAsia="ＭＳ ゴシック" w:cs="Noto Sans Arabic UI"/>
      <w:b/>
      <w:bCs/>
      <w:color w:themeColor="accent1" w:val="4F81BD"/>
      <w:sz w:val="26"/>
      <w:szCs w:val="26"/>
    </w:rPr>
  </w:style>
  <w:style w:type="character" w:styleId="Heading3Char">
    <w:name w:val="Heading 3 Char"/>
    <w:basedOn w:val="DefaultParagraphFont"/>
    <w:qFormat/>
    <w:rPr>
      <w:rFonts w:ascii="Calibri" w:hAnsi="Calibri" w:eastAsia="ＭＳ ゴシック" w:cs="Noto Sans Arabic UI"/>
      <w:b/>
      <w:bCs/>
      <w:color w:themeColor="accent1" w:val="4F81BD"/>
    </w:rPr>
  </w:style>
  <w:style w:type="character" w:styleId="TitleChar">
    <w:name w:val="Title Char"/>
    <w:basedOn w:val="DefaultParagraphFont"/>
    <w:qFormat/>
    <w:rPr>
      <w:rFonts w:ascii="Calibri" w:hAnsi="Calibri" w:eastAsia="ＭＳ ゴシック" w:cs="Noto Sans Arabic UI"/>
      <w:color w:themeColor="dark2" w:themeShade="bf" w:val="17365D"/>
      <w:spacing w:val="5"/>
      <w:kern w:val="2"/>
      <w:sz w:val="52"/>
      <w:szCs w:val="52"/>
    </w:rPr>
  </w:style>
  <w:style w:type="character" w:styleId="SubtitleChar">
    <w:name w:val="Subtitle Char"/>
    <w:basedOn w:val="DefaultParagraphFont"/>
    <w:qFormat/>
    <w:rPr>
      <w:rFonts w:ascii="Calibri" w:hAnsi="Calibri" w:eastAsia="ＭＳ ゴシック" w:cs="Noto Sans Arabic UI"/>
      <w:i/>
      <w:iCs/>
      <w:color w:themeColor="accent1" w:val="4F81BD"/>
      <w:spacing w:val="15"/>
      <w:sz w:val="24"/>
      <w:szCs w:val="24"/>
    </w:rPr>
  </w:style>
  <w:style w:type="character" w:styleId="BodyTextChar">
    <w:name w:val="Body Text Char"/>
    <w:basedOn w:val="DefaultParagraphFont"/>
    <w:qFormat/>
    <w:rPr/>
  </w:style>
  <w:style w:type="character" w:styleId="BodyText2Char">
    <w:name w:val="Body Text 2 Char"/>
    <w:basedOn w:val="DefaultParagraphFont"/>
    <w:link w:val="BodyText2"/>
    <w:qFormat/>
    <w:rPr/>
  </w:style>
  <w:style w:type="character" w:styleId="BodyText3Char">
    <w:name w:val="Body Text 3 Char"/>
    <w:basedOn w:val="DefaultParagraphFont"/>
    <w:link w:val="BodyText3"/>
    <w:qFormat/>
    <w:rPr>
      <w:sz w:val="16"/>
      <w:szCs w:val="16"/>
    </w:rPr>
  </w:style>
  <w:style w:type="character" w:styleId="MacroTextChar">
    <w:name w:val="Macro Text Char"/>
    <w:basedOn w:val="DefaultParagraphFont"/>
    <w:link w:val="macro"/>
    <w:qFormat/>
    <w:rPr>
      <w:rFonts w:ascii="Courier" w:hAnsi="Courier"/>
      <w:sz w:val="20"/>
      <w:szCs w:val="20"/>
    </w:rPr>
  </w:style>
  <w:style w:type="character" w:styleId="QuoteChar">
    <w:name w:val="Quote Char"/>
    <w:basedOn w:val="DefaultParagraphFont"/>
    <w:link w:val="Quote"/>
    <w:qFormat/>
    <w:rPr>
      <w:i/>
      <w:iCs/>
      <w:color w:themeColor="dark1" w:val="000000"/>
    </w:rPr>
  </w:style>
  <w:style w:type="character" w:styleId="Heading4Char">
    <w:name w:val="Heading 4 Char"/>
    <w:basedOn w:val="DefaultParagraphFont"/>
    <w:qFormat/>
    <w:rPr>
      <w:rFonts w:ascii="Calibri" w:hAnsi="Calibri" w:eastAsia="ＭＳ ゴシック" w:cs="Noto Sans Arabic UI"/>
      <w:b/>
      <w:bCs/>
      <w:i/>
      <w:iCs/>
      <w:color w:themeColor="accent1" w:val="4F81BD"/>
    </w:rPr>
  </w:style>
  <w:style w:type="character" w:styleId="Heading5Char">
    <w:name w:val="Heading 5 Char"/>
    <w:basedOn w:val="DefaultParagraphFont"/>
    <w:qFormat/>
    <w:rPr>
      <w:rFonts w:ascii="Calibri" w:hAnsi="Calibri" w:eastAsia="ＭＳ ゴシック" w:cs="Noto Sans Arabic UI"/>
      <w:color w:themeColor="accent1" w:themeShade="7f" w:val="243F60"/>
    </w:rPr>
  </w:style>
  <w:style w:type="character" w:styleId="Heading6Char">
    <w:name w:val="Heading 6 Char"/>
    <w:basedOn w:val="DefaultParagraphFont"/>
    <w:qFormat/>
    <w:rPr>
      <w:rFonts w:ascii="Calibri" w:hAnsi="Calibri" w:eastAsia="ＭＳ ゴシック" w:cs="Noto Sans Arabic UI"/>
      <w:i/>
      <w:iCs/>
      <w:color w:themeColor="accent1" w:themeShade="7f" w:val="243F60"/>
    </w:rPr>
  </w:style>
  <w:style w:type="character" w:styleId="Heading7Char">
    <w:name w:val="Heading 7 Char"/>
    <w:basedOn w:val="DefaultParagraphFont"/>
    <w:qFormat/>
    <w:rPr>
      <w:rFonts w:ascii="Calibri" w:hAnsi="Calibri" w:eastAsia="ＭＳ ゴシック" w:cs="Noto Sans Arabic UI"/>
      <w:i/>
      <w:iCs/>
      <w:color w:themeColor="dark1" w:themeTint="bf" w:val="404040"/>
    </w:rPr>
  </w:style>
  <w:style w:type="character" w:styleId="Heading8Char">
    <w:name w:val="Heading 8 Char"/>
    <w:basedOn w:val="DefaultParagraphFont"/>
    <w:qFormat/>
    <w:rPr>
      <w:rFonts w:ascii="Calibri" w:hAnsi="Calibri" w:eastAsia="ＭＳ ゴシック" w:cs="Noto Sans Arabic UI"/>
      <w:color w:themeColor="accent1" w:val="4F81BD"/>
      <w:sz w:val="20"/>
      <w:szCs w:val="20"/>
    </w:rPr>
  </w:style>
  <w:style w:type="character" w:styleId="Heading9Char">
    <w:name w:val="Heading 9 Char"/>
    <w:basedOn w:val="DefaultParagraphFont"/>
    <w:qFormat/>
    <w:rPr>
      <w:rFonts w:ascii="Calibri" w:hAnsi="Calibri" w:eastAsia="ＭＳ ゴシック" w:cs="Noto Sans Arabic UI"/>
      <w:i/>
      <w:iCs/>
      <w:color w:themeColor="dark1" w:themeTint="bf" w:val="404040"/>
      <w:sz w:val="20"/>
      <w:szCs w:val="20"/>
    </w:rPr>
  </w:style>
  <w:style w:type="character" w:styleId="Strong">
    <w:name w:val="Strong"/>
    <w:basedOn w:val="DefaultParagraphFont"/>
    <w:qFormat/>
    <w:rPr>
      <w:b/>
      <w:bCs/>
    </w:rPr>
  </w:style>
  <w:style w:type="character" w:styleId="Emphasis">
    <w:name w:val="Emphasis"/>
    <w:basedOn w:val="DefaultParagraphFont"/>
    <w:qFormat/>
    <w:rPr>
      <w:i/>
      <w:iCs/>
    </w:rPr>
  </w:style>
  <w:style w:type="character" w:styleId="IntenseQuoteChar">
    <w:name w:val="Intense Quote Char"/>
    <w:basedOn w:val="DefaultParagraphFont"/>
    <w:link w:val="IntenseQuote"/>
    <w:qFormat/>
    <w:rPr>
      <w:b/>
      <w:bCs/>
      <w:i/>
      <w:iCs/>
      <w:color w:themeColor="accent1" w:val="4F81BD"/>
    </w:rPr>
  </w:style>
  <w:style w:type="character" w:styleId="SubtleEmphasis">
    <w:name w:val="Subtle Emphasis"/>
    <w:basedOn w:val="DefaultParagraphFont"/>
    <w:qFormat/>
    <w:rPr>
      <w:i/>
      <w:iCs/>
      <w:color w:themeColor="dark1" w:themeTint="7f" w:val="808080"/>
    </w:rPr>
  </w:style>
  <w:style w:type="character" w:styleId="IntenseEmphasis">
    <w:name w:val="Intense Emphasis"/>
    <w:basedOn w:val="DefaultParagraphFont"/>
    <w:qFormat/>
    <w:rPr>
      <w:b/>
      <w:bCs/>
      <w:i/>
      <w:iCs/>
      <w:color w:themeColor="accent1" w:val="4F81BD"/>
    </w:rPr>
  </w:style>
  <w:style w:type="character" w:styleId="SubtleReference">
    <w:name w:val="Subtle Reference"/>
    <w:basedOn w:val="DefaultParagraphFont"/>
    <w:qFormat/>
    <w:rPr>
      <w:smallCaps/>
      <w:color w:themeColor="accent2" w:val="C0504D"/>
      <w:u w:val="single"/>
    </w:rPr>
  </w:style>
  <w:style w:type="character" w:styleId="IntenseReference">
    <w:name w:val="Intense Reference"/>
    <w:basedOn w:val="DefaultParagraphFont"/>
    <w:qFormat/>
    <w:rPr>
      <w:b/>
      <w:bCs/>
      <w:smallCaps/>
      <w:color w:themeColor="accent2" w:val="C0504D"/>
      <w:spacing w:val="5"/>
      <w:u w:val="single"/>
    </w:rPr>
  </w:style>
  <w:style w:type="character" w:styleId="BookTitle">
    <w:name w:val="Book Title"/>
    <w:basedOn w:val="DefaultParagraphFont"/>
    <w:qFormat/>
    <w:rPr>
      <w:b/>
      <w:bCs/>
      <w:smallCaps/>
      <w:spacing w:val="5"/>
    </w:rPr>
  </w:style>
  <w:style w:type="character" w:styleId="Aufzhlungszeichen">
    <w:name w:val="Aufzählungszeichen"/>
    <w:qFormat/>
    <w:rPr>
      <w:rFonts w:ascii="OpenSymbol" w:hAnsi="OpenSymbol" w:eastAsia="OpenSymbol" w:cs="OpenSymbol"/>
    </w:rPr>
  </w:style>
  <w:style w:type="character" w:styleId="Hyperlink">
    <w:name w:val="Hyperlink"/>
    <w:rPr>
      <w:color w:val="000080"/>
      <w:u w:val="single"/>
    </w:rPr>
  </w:style>
  <w:style w:type="character" w:styleId="Nummerierungszeichen">
    <w:name w:val="Nummerierungszeichen"/>
    <w:qFormat/>
    <w:rPr/>
  </w:style>
  <w:style w:type="paragraph" w:styleId="berschrift">
    <w:name w:val="Überschrift"/>
    <w:basedOn w:val="Normal"/>
    <w:next w:val="BodyText"/>
    <w:qFormat/>
    <w:pPr>
      <w:keepNext w:val="true"/>
      <w:spacing w:before="240" w:after="120"/>
    </w:pPr>
    <w:rPr>
      <w:rFonts w:ascii="Liberation Sans" w:hAnsi="Liberation Sans" w:eastAsia="Noto Sans CJK SC" w:cs="Noto Sans Devanagari"/>
      <w:sz w:val="28"/>
      <w:szCs w:val="28"/>
    </w:rPr>
  </w:style>
  <w:style w:type="paragraph" w:styleId="BodyText">
    <w:name w:val="Body Text"/>
    <w:basedOn w:val="Normal"/>
    <w:link w:val="BodyTextChar"/>
    <w:pPr>
      <w:spacing w:before="0" w:after="120"/>
    </w:pPr>
    <w:rPr/>
  </w:style>
  <w:style w:type="paragraph" w:styleId="List">
    <w:name w:val="List"/>
    <w:basedOn w:val="Normal"/>
    <w:pPr>
      <w:spacing w:before="0" w:after="200"/>
      <w:ind w:hanging="360" w:start="360"/>
      <w:contextualSpacing/>
    </w:pPr>
    <w:rPr/>
  </w:style>
  <w:style w:type="paragraph" w:styleId="Caption">
    <w:name w:val="Caption"/>
    <w:basedOn w:val="Normal"/>
    <w:next w:val="Normal"/>
    <w:qFormat/>
    <w:pPr>
      <w:spacing w:lineRule="auto" w:line="240"/>
    </w:pPr>
    <w:rPr>
      <w:b/>
      <w:bCs/>
      <w:color w:themeColor="accent1" w:val="4F81BD"/>
      <w:sz w:val="18"/>
      <w:szCs w:val="18"/>
    </w:rPr>
  </w:style>
  <w:style w:type="paragraph" w:styleId="Verzeichnis">
    <w:name w:val="Verzeichnis"/>
    <w:basedOn w:val="Normal"/>
    <w:qFormat/>
    <w:pPr>
      <w:suppressLineNumbers/>
    </w:pPr>
    <w:rPr>
      <w:rFonts w:cs="Noto Sans Devanagari"/>
    </w:rPr>
  </w:style>
  <w:style w:type="paragraph" w:styleId="Kopf-Fuzeile">
    <w:name w:val="Kopf-/Fußzeile"/>
    <w:basedOn w:val="Normal"/>
    <w:qFormat/>
    <w:pPr/>
    <w:rPr/>
  </w:style>
  <w:style w:type="paragraph" w:styleId="Header">
    <w:name w:val="Header"/>
    <w:basedOn w:val="Normal"/>
    <w:link w:val="HeaderChar"/>
    <w:pPr>
      <w:tabs>
        <w:tab w:val="clear" w:pos="720"/>
        <w:tab w:val="center" w:pos="4680" w:leader="none"/>
        <w:tab w:val="right" w:pos="9360" w:leader="none"/>
      </w:tabs>
      <w:spacing w:lineRule="auto" w:line="240" w:before="0" w:after="0"/>
    </w:pPr>
    <w:rPr/>
  </w:style>
  <w:style w:type="paragraph" w:styleId="Footer">
    <w:name w:val="Footer"/>
    <w:basedOn w:val="Normal"/>
    <w:link w:val="FooterChar"/>
    <w:pPr>
      <w:tabs>
        <w:tab w:val="clear" w:pos="720"/>
        <w:tab w:val="center" w:pos="4680" w:leader="none"/>
        <w:tab w:val="right" w:pos="9360" w:leader="none"/>
      </w:tabs>
      <w:spacing w:lineRule="auto" w:line="240" w:before="0" w:after="0"/>
    </w:pPr>
    <w:rPr/>
  </w:style>
  <w:style w:type="paragraph" w:styleId="NoSpacing">
    <w:name w:val="No Spacing"/>
    <w:qFormat/>
    <w:pPr>
      <w:widowControl/>
      <w:kinsoku w:val="true"/>
      <w:overflowPunct w:val="true"/>
      <w:autoSpaceDE w:val="true"/>
      <w:bidi w:val="0"/>
      <w:spacing w:lineRule="auto" w:line="240" w:before="0" w:after="0"/>
      <w:jc w:val="start"/>
    </w:pPr>
    <w:rPr>
      <w:rFonts w:ascii="Cambria" w:hAnsi="Cambria" w:eastAsia="ＭＳ 明朝" w:cs="Noto Sans Arabic UI"/>
      <w:color w:val="auto"/>
      <w:kern w:val="0"/>
      <w:sz w:val="22"/>
      <w:szCs w:val="22"/>
      <w:lang w:val="de-DE" w:eastAsia="en-US" w:bidi="ar-SA"/>
    </w:rPr>
  </w:style>
  <w:style w:type="paragraph" w:styleId="Title">
    <w:name w:val="Title"/>
    <w:basedOn w:val="Normal"/>
    <w:next w:val="Normal"/>
    <w:link w:val="TitleChar"/>
    <w:qFormat/>
    <w:pPr>
      <w:pBdr>
        <w:bottom w:val="single" w:sz="8" w:space="4" w:color="4F81BD"/>
      </w:pBdr>
      <w:spacing w:lineRule="auto" w:line="240" w:before="0" w:after="300"/>
      <w:contextualSpacing/>
    </w:pPr>
    <w:rPr>
      <w:rFonts w:ascii="Calibri" w:hAnsi="Calibri" w:eastAsia="ＭＳ ゴシック" w:cs="Noto Sans Arabic UI"/>
      <w:color w:themeColor="dark2" w:themeShade="bf" w:val="17365D"/>
      <w:spacing w:val="5"/>
      <w:kern w:val="2"/>
      <w:sz w:val="52"/>
      <w:szCs w:val="52"/>
    </w:rPr>
  </w:style>
  <w:style w:type="paragraph" w:styleId="Subtitle">
    <w:name w:val="Subtitle"/>
    <w:basedOn w:val="Normal"/>
    <w:next w:val="Normal"/>
    <w:link w:val="SubtitleChar"/>
    <w:qFormat/>
    <w:pPr/>
    <w:rPr>
      <w:rFonts w:ascii="Calibri" w:hAnsi="Calibri" w:eastAsia="ＭＳ ゴシック" w:cs="Noto Sans Arabic UI"/>
      <w:i/>
      <w:iCs/>
      <w:color w:themeColor="accent1" w:val="4F81BD"/>
      <w:spacing w:val="15"/>
      <w:sz w:val="24"/>
      <w:szCs w:val="24"/>
    </w:rPr>
  </w:style>
  <w:style w:type="paragraph" w:styleId="ListParagraph">
    <w:name w:val="List Paragraph"/>
    <w:basedOn w:val="Normal"/>
    <w:qFormat/>
    <w:pPr>
      <w:spacing w:before="0" w:after="200"/>
      <w:ind w:start="720"/>
      <w:contextualSpacing/>
    </w:pPr>
    <w:rPr/>
  </w:style>
  <w:style w:type="paragraph" w:styleId="BodyText2">
    <w:name w:val="Body Text 2"/>
    <w:basedOn w:val="Normal"/>
    <w:link w:val="BodyText2Char"/>
    <w:qFormat/>
    <w:pPr>
      <w:spacing w:lineRule="auto" w:line="480" w:before="0" w:after="120"/>
    </w:pPr>
    <w:rPr/>
  </w:style>
  <w:style w:type="paragraph" w:styleId="BodyText3">
    <w:name w:val="Body Text 3"/>
    <w:basedOn w:val="Normal"/>
    <w:link w:val="BodyText3Char"/>
    <w:qFormat/>
    <w:pPr>
      <w:spacing w:before="0" w:after="120"/>
    </w:pPr>
    <w:rPr>
      <w:sz w:val="16"/>
      <w:szCs w:val="16"/>
    </w:rPr>
  </w:style>
  <w:style w:type="paragraph" w:styleId="List2">
    <w:name w:val="List 2"/>
    <w:basedOn w:val="Normal"/>
    <w:qFormat/>
    <w:pPr>
      <w:spacing w:before="0" w:after="200"/>
      <w:ind w:hanging="360" w:start="720"/>
      <w:contextualSpacing/>
    </w:pPr>
    <w:rPr/>
  </w:style>
  <w:style w:type="paragraph" w:styleId="List3">
    <w:name w:val="List 3"/>
    <w:basedOn w:val="Normal"/>
    <w:qFormat/>
    <w:pPr>
      <w:spacing w:before="0" w:after="200"/>
      <w:ind w:hanging="360" w:start="1080"/>
      <w:contextualSpacing/>
    </w:pPr>
    <w:rPr/>
  </w:style>
  <w:style w:type="paragraph" w:styleId="ListBullet">
    <w:name w:val="List Bullet"/>
    <w:basedOn w:val="Normal"/>
    <w:pPr>
      <w:numPr>
        <w:ilvl w:val="0"/>
        <w:numId w:val="2"/>
      </w:numPr>
      <w:spacing w:before="0" w:after="200"/>
      <w:contextualSpacing/>
    </w:pPr>
    <w:rPr/>
  </w:style>
  <w:style w:type="paragraph" w:styleId="ListBullet2">
    <w:name w:val="List Bullet 2"/>
    <w:basedOn w:val="Normal"/>
    <w:pPr>
      <w:numPr>
        <w:ilvl w:val="0"/>
        <w:numId w:val="3"/>
      </w:numPr>
      <w:spacing w:before="0" w:after="200"/>
      <w:contextualSpacing/>
    </w:pPr>
    <w:rPr/>
  </w:style>
  <w:style w:type="paragraph" w:styleId="ListBullet3">
    <w:name w:val="List Bullet 3"/>
    <w:basedOn w:val="Normal"/>
    <w:pPr>
      <w:numPr>
        <w:ilvl w:val="0"/>
        <w:numId w:val="4"/>
      </w:numPr>
      <w:spacing w:before="0" w:after="200"/>
      <w:contextualSpacing/>
    </w:pPr>
    <w:rPr/>
  </w:style>
  <w:style w:type="paragraph" w:styleId="ListNumber">
    <w:name w:val="List Number"/>
    <w:basedOn w:val="Normal"/>
    <w:pPr>
      <w:numPr>
        <w:ilvl w:val="0"/>
        <w:numId w:val="5"/>
      </w:numPr>
      <w:spacing w:before="0" w:after="200"/>
      <w:contextualSpacing/>
    </w:pPr>
    <w:rPr/>
  </w:style>
  <w:style w:type="paragraph" w:styleId="ListNumber2">
    <w:name w:val="List Number 2"/>
    <w:basedOn w:val="Normal"/>
    <w:pPr>
      <w:numPr>
        <w:ilvl w:val="0"/>
        <w:numId w:val="6"/>
      </w:numPr>
      <w:spacing w:before="0" w:after="200"/>
      <w:contextualSpacing/>
    </w:pPr>
    <w:rPr/>
  </w:style>
  <w:style w:type="paragraph" w:styleId="ListNumber3">
    <w:name w:val="List Number 3"/>
    <w:basedOn w:val="Normal"/>
    <w:pPr>
      <w:numPr>
        <w:ilvl w:val="0"/>
        <w:numId w:val="7"/>
      </w:numPr>
      <w:spacing w:before="0" w:after="200"/>
      <w:contextualSpacing/>
    </w:pPr>
    <w:rPr/>
  </w:style>
  <w:style w:type="paragraph" w:styleId="ListContinue">
    <w:name w:val="List Continue"/>
    <w:basedOn w:val="Normal"/>
    <w:pPr>
      <w:spacing w:before="0" w:after="120"/>
      <w:ind w:start="360"/>
      <w:contextualSpacing/>
    </w:pPr>
    <w:rPr/>
  </w:style>
  <w:style w:type="paragraph" w:styleId="ListContinue2">
    <w:name w:val="List Continue 2"/>
    <w:basedOn w:val="Normal"/>
    <w:pPr>
      <w:spacing w:before="0" w:after="120"/>
      <w:ind w:start="720"/>
      <w:contextualSpacing/>
    </w:pPr>
    <w:rPr/>
  </w:style>
  <w:style w:type="paragraph" w:styleId="ListContinue3">
    <w:name w:val="List Continue 3"/>
    <w:basedOn w:val="Normal"/>
    <w:pPr>
      <w:spacing w:before="0" w:after="120"/>
      <w:ind w:start="1080"/>
      <w:contextualSpacing/>
    </w:pPr>
    <w:rPr/>
  </w:style>
  <w:style w:type="paragraph" w:styleId="macro">
    <w:name w:val="macro"/>
    <w:link w:val="MacroTextChar"/>
    <w:qFormat/>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kinsoku w:val="true"/>
      <w:overflowPunct w:val="true"/>
      <w:autoSpaceDE w:val="true"/>
      <w:bidi w:val="0"/>
      <w:spacing w:lineRule="auto" w:line="276" w:before="0" w:after="200"/>
      <w:jc w:val="start"/>
    </w:pPr>
    <w:rPr>
      <w:rFonts w:ascii="Courier" w:hAnsi="Courier" w:eastAsia="ＭＳ 明朝" w:cs="Noto Sans Arabic UI"/>
      <w:color w:val="auto"/>
      <w:kern w:val="0"/>
      <w:sz w:val="20"/>
      <w:szCs w:val="20"/>
      <w:lang w:val="de-DE" w:eastAsia="en-US" w:bidi="ar-SA"/>
    </w:rPr>
  </w:style>
  <w:style w:type="paragraph" w:styleId="Quote">
    <w:name w:val="Quote"/>
    <w:basedOn w:val="Normal"/>
    <w:next w:val="Normal"/>
    <w:link w:val="QuoteChar"/>
    <w:qFormat/>
    <w:pPr/>
    <w:rPr>
      <w:i/>
      <w:iCs/>
      <w:color w:themeColor="dark1" w:val="000000"/>
    </w:rPr>
  </w:style>
  <w:style w:type="paragraph" w:styleId="IntenseQuote">
    <w:name w:val="Intense Quote"/>
    <w:basedOn w:val="Normal"/>
    <w:next w:val="Normal"/>
    <w:link w:val="IntenseQuoteChar"/>
    <w:qFormat/>
    <w:pPr>
      <w:pBdr>
        <w:bottom w:val="single" w:sz="4" w:space="4" w:color="4F81BD"/>
      </w:pBdr>
      <w:spacing w:before="200" w:after="280"/>
      <w:ind w:start="936" w:end="936"/>
    </w:pPr>
    <w:rPr>
      <w:b/>
      <w:bCs/>
      <w:i/>
      <w:iCs/>
      <w:color w:themeColor="accent1" w:val="4F81BD"/>
    </w:rPr>
  </w:style>
  <w:style w:type="paragraph" w:styleId="IndexHeading">
    <w:name w:val="Index Heading"/>
    <w:basedOn w:val="berschrift"/>
    <w:pPr/>
    <w:rPr/>
  </w:style>
  <w:style w:type="paragraph" w:styleId="TOCHeading">
    <w:name w:val="TOC Heading"/>
    <w:basedOn w:val="Heading1"/>
    <w:next w:val="Normal"/>
    <w:qFormat/>
    <w:pPr>
      <w:outlineLvl w:val="9"/>
    </w:pPr>
    <w:rPr/>
  </w:style>
  <w:style w:type="paragraph" w:styleId="Blockzitat">
    <w:name w:val="Blockzitat"/>
    <w:basedOn w:val="Normal"/>
    <w:qFormat/>
    <w:pPr>
      <w:spacing w:before="0" w:after="283"/>
      <w:ind w:hanging="0" w:start="567" w:end="567"/>
    </w:pPr>
    <w:rPr/>
  </w:style>
  <w:style w:type="paragraph" w:styleId="HorizontaleLinie">
    <w:name w:val="Horizontale Linie"/>
    <w:basedOn w:val="Normal"/>
    <w:next w:val="BodyText"/>
    <w:qFormat/>
    <w:pPr>
      <w:suppressLineNumbers/>
      <w:pBdr>
        <w:bottom w:val="double" w:sz="2" w:space="0" w:color="808080"/>
      </w:pBdr>
      <w:spacing w:before="0" w:after="283"/>
    </w:pPr>
    <w:rPr>
      <w:sz w:val="12"/>
      <w:szCs w:val="12"/>
    </w:rPr>
  </w:style>
  <w:style w:type="numbering" w:styleId="KeineListe">
    <w:name w:val="Keine Liste"/>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182</TotalTime>
  <Application>LibreOffice/24.2.7.2$Linux_X86_64 LibreOffice_project/420$Build-2</Application>
  <AppVersion>15.0000</AppVersion>
  <Pages>11</Pages>
  <Words>2495</Words>
  <Characters>18927</Characters>
  <CharactersWithSpaces>21260</CharactersWithSpaces>
  <Paragraphs>166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python-docx</dc:creator>
  <dc:description>generated by python-docx</dc:description>
  <dc:language>de-DE</dc:language>
  <cp:lastModifiedBy/>
  <cp:lastPrinted>2026-06-29T13:36:22Z</cp:lastPrinted>
  <dcterms:modified xsi:type="dcterms:W3CDTF">2026-06-29T13:36:12Z</dcterms:modified>
  <cp:revision>22</cp:revision>
  <dc:subject/>
  <dc:title/>
</cp:coreProperties>
</file>

<file path=docProps/custom.xml><?xml version="1.0" encoding="utf-8"?>
<Properties xmlns="http://schemas.openxmlformats.org/officeDocument/2006/custom-properties" xmlns:vt="http://schemas.openxmlformats.org/officeDocument/2006/docPropsVTypes"/>
</file>